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0" w:lineRule="exact" w:before="0"/>
        <w:ind w:left="420"/>
        <w:rPr>
          <w:rFonts w:ascii="Times New Roman"/>
          <w:sz w:val="2"/>
        </w:rPr>
      </w:pPr>
      <w:r>
        <w:rPr>
          <w:rFonts w:ascii="Times New Roman"/>
          <w:sz w:val="2"/>
        </w:rPr>
        <mc:AlternateContent>
          <mc:Choice Requires="wps">
            <w:drawing>
              <wp:inline distT="0" distB="0" distL="0" distR="0">
                <wp:extent cx="5867400" cy="9525"/>
                <wp:effectExtent l="9525" t="0" r="0" b="0"/>
                <wp:docPr id="1" name="Group 1"/>
                <wp:cNvGraphicFramePr>
                  <a:graphicFrameLocks/>
                </wp:cNvGraphicFramePr>
                <a:graphic>
                  <a:graphicData uri="http://schemas.microsoft.com/office/word/2010/wordprocessingGroup">
                    <wpg:wgp>
                      <wpg:cNvPr id="1" name="Group 1"/>
                      <wpg:cNvGrpSpPr/>
                      <wpg:grpSpPr>
                        <a:xfrm>
                          <a:off x="0" y="0"/>
                          <a:ext cx="5867400" cy="9525"/>
                          <a:chExt cx="5867400" cy="9525"/>
                        </a:xfrm>
                      </wpg:grpSpPr>
                      <wps:wsp>
                        <wps:cNvPr id="2" name="Graphic 2"/>
                        <wps:cNvSpPr/>
                        <wps:spPr>
                          <a:xfrm>
                            <a:off x="0" y="4762"/>
                            <a:ext cx="5867400" cy="1270"/>
                          </a:xfrm>
                          <a:custGeom>
                            <a:avLst/>
                            <a:gdLst/>
                            <a:ahLst/>
                            <a:cxnLst/>
                            <a:rect l="l" t="t" r="r" b="b"/>
                            <a:pathLst>
                              <a:path w="5867400" h="0">
                                <a:moveTo>
                                  <a:pt x="0" y="0"/>
                                </a:moveTo>
                                <a:lnTo>
                                  <a:pt x="5867399" y="0"/>
                                </a:lnTo>
                              </a:path>
                            </a:pathLst>
                          </a:custGeom>
                          <a:ln w="9524">
                            <a:solidFill>
                              <a:srgbClr val="878787"/>
                            </a:solidFill>
                            <a:prstDash val="solid"/>
                          </a:ln>
                        </wps:spPr>
                        <wps:bodyPr wrap="square" lIns="0" tIns="0" rIns="0" bIns="0" rtlCol="0">
                          <a:prstTxWarp prst="textNoShape">
                            <a:avLst/>
                          </a:prstTxWarp>
                          <a:noAutofit/>
                        </wps:bodyPr>
                      </wps:wsp>
                    </wpg:wgp>
                  </a:graphicData>
                </a:graphic>
              </wp:inline>
            </w:drawing>
          </mc:Choice>
          <mc:Fallback>
            <w:pict>
              <v:group style="width:462pt;height:.75pt;mso-position-horizontal-relative:char;mso-position-vertical-relative:line" id="docshapegroup1" coordorigin="0,0" coordsize="9240,15">
                <v:line style="position:absolute" from="0,7" to="9240,7" stroked="true" strokeweight=".75pt" strokecolor="#878787">
                  <v:stroke dashstyle="solid"/>
                </v:line>
              </v:group>
            </w:pict>
          </mc:Fallback>
        </mc:AlternateContent>
      </w:r>
      <w:r>
        <w:rPr>
          <w:rFonts w:ascii="Times New Roman"/>
          <w:sz w:val="2"/>
        </w:rPr>
      </w:r>
    </w:p>
    <w:p>
      <w:pPr>
        <w:pStyle w:val="Title"/>
      </w:pPr>
      <w:r>
        <w:rPr>
          <w:color w:val="111111"/>
        </w:rPr>
        <w:t>Directors</w:t>
      </w:r>
      <w:r>
        <w:rPr>
          <w:color w:val="111111"/>
          <w:spacing w:val="-1"/>
        </w:rPr>
        <w:t> </w:t>
      </w:r>
      <w:r>
        <w:rPr>
          <w:color w:val="111111"/>
          <w:spacing w:val="-2"/>
        </w:rPr>
        <w:t>Report</w:t>
      </w:r>
    </w:p>
    <w:p>
      <w:pPr>
        <w:pStyle w:val="BodyText"/>
        <w:spacing w:before="227"/>
        <w:rPr>
          <w:rFonts w:ascii="Arial"/>
          <w:b/>
          <w:sz w:val="20"/>
        </w:rPr>
      </w:pPr>
      <w:r>
        <w:rPr>
          <w:rFonts w:ascii="Arial"/>
          <w:b/>
          <w:sz w:val="20"/>
        </w:rPr>
        <mc:AlternateContent>
          <mc:Choice Requires="wps">
            <w:drawing>
              <wp:anchor distT="0" distB="0" distL="0" distR="0" allowOverlap="1" layoutInCell="1" locked="0" behindDoc="1" simplePos="0" relativeHeight="487588352">
                <wp:simplePos x="0" y="0"/>
                <wp:positionH relativeFrom="page">
                  <wp:posOffset>952499</wp:posOffset>
                </wp:positionH>
                <wp:positionV relativeFrom="paragraph">
                  <wp:posOffset>305772</wp:posOffset>
                </wp:positionV>
                <wp:extent cx="58674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867400" cy="1270"/>
                        </a:xfrm>
                        <a:custGeom>
                          <a:avLst/>
                          <a:gdLst/>
                          <a:ahLst/>
                          <a:cxnLst/>
                          <a:rect l="l" t="t" r="r" b="b"/>
                          <a:pathLst>
                            <a:path w="5867400" h="0">
                              <a:moveTo>
                                <a:pt x="0" y="0"/>
                              </a:moveTo>
                              <a:lnTo>
                                <a:pt x="5867399" y="0"/>
                              </a:lnTo>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74.999992pt;margin-top:24.076551pt;width:462pt;height:.1pt;mso-position-horizontal-relative:page;mso-position-vertical-relative:paragraph;z-index:-15728128;mso-wrap-distance-left:0;mso-wrap-distance-right:0" id="docshape2" coordorigin="1500,482" coordsize="9240,0" path="m1500,482l10740,482e" filled="false" stroked="true" strokeweight=".75pt" strokecolor="#878787">
                <v:path arrowok="t"/>
                <v:stroke dashstyle="solid"/>
                <w10:wrap type="topAndBottom"/>
              </v:shape>
            </w:pict>
          </mc:Fallback>
        </mc:AlternateContent>
      </w:r>
    </w:p>
    <w:p>
      <w:pPr>
        <w:pStyle w:val="BodyText"/>
        <w:spacing w:before="122"/>
        <w:rPr>
          <w:rFonts w:ascii="Arial"/>
          <w:b/>
        </w:rPr>
      </w:pPr>
    </w:p>
    <w:p>
      <w:pPr>
        <w:pStyle w:val="BodyText"/>
        <w:spacing w:before="0"/>
        <w:ind w:left="359"/>
      </w:pPr>
      <w:r>
        <w:rPr>
          <w:color w:val="696F6F"/>
        </w:rPr>
        <w:t>Dear</w:t>
      </w:r>
      <w:r>
        <w:rPr>
          <w:color w:val="696F6F"/>
          <w:spacing w:val="-3"/>
        </w:rPr>
        <w:t> </w:t>
      </w:r>
      <w:r>
        <w:rPr>
          <w:color w:val="696F6F"/>
          <w:spacing w:val="-2"/>
        </w:rPr>
        <w:t>Shareholders,</w:t>
      </w:r>
    </w:p>
    <w:p>
      <w:pPr>
        <w:pStyle w:val="BodyText"/>
        <w:spacing w:before="142"/>
      </w:pPr>
    </w:p>
    <w:p>
      <w:pPr>
        <w:pStyle w:val="BodyText"/>
        <w:spacing w:line="249" w:lineRule="auto" w:before="0"/>
        <w:ind w:left="359" w:right="127"/>
      </w:pPr>
      <w:r>
        <w:rPr>
          <w:color w:val="696F6F"/>
          <w:w w:val="105"/>
        </w:rPr>
        <w:t>On</w:t>
      </w:r>
      <w:r>
        <w:rPr>
          <w:color w:val="696F6F"/>
          <w:spacing w:val="-13"/>
          <w:w w:val="105"/>
        </w:rPr>
        <w:t> </w:t>
      </w:r>
      <w:r>
        <w:rPr>
          <w:color w:val="696F6F"/>
          <w:w w:val="105"/>
        </w:rPr>
        <w:t>behalf</w:t>
      </w:r>
      <w:r>
        <w:rPr>
          <w:color w:val="696F6F"/>
          <w:spacing w:val="-12"/>
          <w:w w:val="105"/>
        </w:rPr>
        <w:t> </w:t>
      </w:r>
      <w:r>
        <w:rPr>
          <w:color w:val="696F6F"/>
          <w:w w:val="105"/>
        </w:rPr>
        <w:t>of</w:t>
      </w:r>
      <w:r>
        <w:rPr>
          <w:color w:val="696F6F"/>
          <w:spacing w:val="-12"/>
          <w:w w:val="105"/>
        </w:rPr>
        <w:t> </w:t>
      </w:r>
      <w:r>
        <w:rPr>
          <w:color w:val="696F6F"/>
          <w:w w:val="105"/>
        </w:rPr>
        <w:t>the</w:t>
      </w:r>
      <w:r>
        <w:rPr>
          <w:color w:val="696F6F"/>
          <w:spacing w:val="-13"/>
          <w:w w:val="105"/>
        </w:rPr>
        <w:t> </w:t>
      </w:r>
      <w:r>
        <w:rPr>
          <w:color w:val="696F6F"/>
          <w:w w:val="105"/>
        </w:rPr>
        <w:t>Board</w:t>
      </w:r>
      <w:r>
        <w:rPr>
          <w:color w:val="696F6F"/>
          <w:spacing w:val="-12"/>
          <w:w w:val="105"/>
        </w:rPr>
        <w:t> </w:t>
      </w:r>
      <w:r>
        <w:rPr>
          <w:color w:val="696F6F"/>
          <w:w w:val="105"/>
        </w:rPr>
        <w:t>of</w:t>
      </w:r>
      <w:r>
        <w:rPr>
          <w:color w:val="696F6F"/>
          <w:spacing w:val="-12"/>
          <w:w w:val="105"/>
        </w:rPr>
        <w:t> </w:t>
      </w:r>
      <w:r>
        <w:rPr>
          <w:color w:val="696F6F"/>
          <w:w w:val="105"/>
        </w:rPr>
        <w:t>Directors,</w:t>
      </w:r>
      <w:r>
        <w:rPr>
          <w:color w:val="696F6F"/>
          <w:spacing w:val="-13"/>
          <w:w w:val="105"/>
        </w:rPr>
        <w:t> </w:t>
      </w:r>
      <w:r>
        <w:rPr>
          <w:color w:val="696F6F"/>
          <w:w w:val="105"/>
        </w:rPr>
        <w:t>it</w:t>
      </w:r>
      <w:r>
        <w:rPr>
          <w:color w:val="696F6F"/>
          <w:spacing w:val="-12"/>
          <w:w w:val="105"/>
        </w:rPr>
        <w:t> </w:t>
      </w:r>
      <w:r>
        <w:rPr>
          <w:color w:val="696F6F"/>
          <w:w w:val="105"/>
        </w:rPr>
        <w:t>is</w:t>
      </w:r>
      <w:r>
        <w:rPr>
          <w:color w:val="696F6F"/>
          <w:spacing w:val="-12"/>
          <w:w w:val="105"/>
        </w:rPr>
        <w:t> </w:t>
      </w:r>
      <w:r>
        <w:rPr>
          <w:color w:val="696F6F"/>
          <w:w w:val="105"/>
        </w:rPr>
        <w:t>my</w:t>
      </w:r>
      <w:r>
        <w:rPr>
          <w:color w:val="696F6F"/>
          <w:spacing w:val="-13"/>
          <w:w w:val="105"/>
        </w:rPr>
        <w:t> </w:t>
      </w:r>
      <w:r>
        <w:rPr>
          <w:color w:val="696F6F"/>
          <w:w w:val="105"/>
        </w:rPr>
        <w:t>pleasure</w:t>
      </w:r>
      <w:r>
        <w:rPr>
          <w:color w:val="696F6F"/>
          <w:spacing w:val="-12"/>
          <w:w w:val="105"/>
        </w:rPr>
        <w:t> </w:t>
      </w:r>
      <w:r>
        <w:rPr>
          <w:color w:val="696F6F"/>
          <w:w w:val="105"/>
        </w:rPr>
        <w:t>to</w:t>
      </w:r>
      <w:r>
        <w:rPr>
          <w:color w:val="696F6F"/>
          <w:spacing w:val="-12"/>
          <w:w w:val="105"/>
        </w:rPr>
        <w:t> </w:t>
      </w:r>
      <w:r>
        <w:rPr>
          <w:color w:val="696F6F"/>
          <w:w w:val="105"/>
        </w:rPr>
        <w:t>present</w:t>
      </w:r>
      <w:r>
        <w:rPr>
          <w:color w:val="696F6F"/>
          <w:spacing w:val="-12"/>
          <w:w w:val="105"/>
        </w:rPr>
        <w:t> </w:t>
      </w:r>
      <w:r>
        <w:rPr>
          <w:color w:val="696F6F"/>
          <w:w w:val="105"/>
        </w:rPr>
        <w:t>the…</w:t>
      </w:r>
      <w:r>
        <w:rPr>
          <w:color w:val="696F6F"/>
          <w:spacing w:val="-13"/>
          <w:w w:val="105"/>
        </w:rPr>
        <w:t> </w:t>
      </w:r>
      <w:r>
        <w:rPr>
          <w:color w:val="696F6F"/>
          <w:w w:val="105"/>
        </w:rPr>
        <w:t>First/Second…..</w:t>
      </w:r>
      <w:r>
        <w:rPr>
          <w:color w:val="696F6F"/>
          <w:spacing w:val="-12"/>
          <w:w w:val="105"/>
        </w:rPr>
        <w:t> </w:t>
      </w:r>
      <w:r>
        <w:rPr>
          <w:color w:val="696F6F"/>
          <w:w w:val="105"/>
        </w:rPr>
        <w:t>Annual</w:t>
      </w:r>
      <w:r>
        <w:rPr>
          <w:color w:val="696F6F"/>
          <w:spacing w:val="-12"/>
          <w:w w:val="105"/>
        </w:rPr>
        <w:t> </w:t>
      </w:r>
      <w:r>
        <w:rPr>
          <w:color w:val="696F6F"/>
          <w:w w:val="105"/>
        </w:rPr>
        <w:t>Report</w:t>
      </w:r>
      <w:r>
        <w:rPr>
          <w:color w:val="696F6F"/>
          <w:spacing w:val="-13"/>
          <w:w w:val="105"/>
        </w:rPr>
        <w:t> </w:t>
      </w:r>
      <w:r>
        <w:rPr>
          <w:color w:val="696F6F"/>
          <w:w w:val="105"/>
        </w:rPr>
        <w:t>of</w:t>
      </w:r>
      <w:r>
        <w:rPr>
          <w:color w:val="696F6F"/>
          <w:spacing w:val="-12"/>
          <w:w w:val="105"/>
        </w:rPr>
        <w:t> </w:t>
      </w:r>
      <w:r>
        <w:rPr>
          <w:color w:val="696F6F"/>
          <w:w w:val="105"/>
        </w:rPr>
        <w:t>our</w:t>
      </w:r>
      <w:r>
        <w:rPr>
          <w:color w:val="696F6F"/>
          <w:spacing w:val="-12"/>
          <w:w w:val="105"/>
        </w:rPr>
        <w:t> </w:t>
      </w:r>
      <w:r>
        <w:rPr>
          <w:color w:val="696F6F"/>
          <w:w w:val="105"/>
        </w:rPr>
        <w:t>Company…………Ltd</w:t>
      </w:r>
      <w:r>
        <w:rPr>
          <w:color w:val="696F6F"/>
          <w:spacing w:val="4"/>
          <w:w w:val="105"/>
        </w:rPr>
        <w:t> </w:t>
      </w:r>
      <w:r>
        <w:rPr>
          <w:color w:val="696F6F"/>
          <w:w w:val="105"/>
        </w:rPr>
        <w:t>(“the Company”)</w:t>
      </w:r>
      <w:r>
        <w:rPr>
          <w:color w:val="696F6F"/>
          <w:spacing w:val="-11"/>
          <w:w w:val="105"/>
        </w:rPr>
        <w:t> </w:t>
      </w:r>
      <w:r>
        <w:rPr>
          <w:color w:val="696F6F"/>
          <w:w w:val="105"/>
        </w:rPr>
        <w:t>together</w:t>
      </w:r>
      <w:r>
        <w:rPr>
          <w:color w:val="696F6F"/>
          <w:spacing w:val="-11"/>
          <w:w w:val="105"/>
        </w:rPr>
        <w:t> </w:t>
      </w:r>
      <w:r>
        <w:rPr>
          <w:color w:val="696F6F"/>
          <w:w w:val="105"/>
        </w:rPr>
        <w:t>with</w:t>
      </w:r>
      <w:r>
        <w:rPr>
          <w:color w:val="696F6F"/>
          <w:spacing w:val="-11"/>
          <w:w w:val="105"/>
        </w:rPr>
        <w:t> </w:t>
      </w:r>
      <w:r>
        <w:rPr>
          <w:color w:val="696F6F"/>
          <w:w w:val="105"/>
        </w:rPr>
        <w:t>the</w:t>
      </w:r>
      <w:r>
        <w:rPr>
          <w:color w:val="696F6F"/>
          <w:spacing w:val="-11"/>
          <w:w w:val="105"/>
        </w:rPr>
        <w:t> </w:t>
      </w:r>
      <w:r>
        <w:rPr>
          <w:color w:val="696F6F"/>
          <w:w w:val="105"/>
        </w:rPr>
        <w:t>Audited</w:t>
      </w:r>
      <w:r>
        <w:rPr>
          <w:color w:val="696F6F"/>
          <w:spacing w:val="-11"/>
          <w:w w:val="105"/>
        </w:rPr>
        <w:t> </w:t>
      </w:r>
      <w:r>
        <w:rPr>
          <w:color w:val="696F6F"/>
          <w:w w:val="105"/>
        </w:rPr>
        <w:t>Statement</w:t>
      </w:r>
      <w:r>
        <w:rPr>
          <w:color w:val="696F6F"/>
          <w:spacing w:val="-11"/>
          <w:w w:val="105"/>
        </w:rPr>
        <w:t> </w:t>
      </w:r>
      <w:r>
        <w:rPr>
          <w:color w:val="696F6F"/>
          <w:w w:val="105"/>
        </w:rPr>
        <w:t>of</w:t>
      </w:r>
      <w:r>
        <w:rPr>
          <w:color w:val="696F6F"/>
          <w:spacing w:val="-11"/>
          <w:w w:val="105"/>
        </w:rPr>
        <w:t> </w:t>
      </w:r>
      <w:r>
        <w:rPr>
          <w:color w:val="696F6F"/>
          <w:w w:val="105"/>
        </w:rPr>
        <w:t>Accounts</w:t>
      </w:r>
      <w:r>
        <w:rPr>
          <w:color w:val="696F6F"/>
          <w:spacing w:val="-11"/>
          <w:w w:val="105"/>
        </w:rPr>
        <w:t> </w:t>
      </w:r>
      <w:r>
        <w:rPr>
          <w:color w:val="696F6F"/>
          <w:w w:val="105"/>
        </w:rPr>
        <w:t>for</w:t>
      </w:r>
      <w:r>
        <w:rPr>
          <w:color w:val="696F6F"/>
          <w:spacing w:val="-11"/>
          <w:w w:val="105"/>
        </w:rPr>
        <w:t> </w:t>
      </w:r>
      <w:r>
        <w:rPr>
          <w:color w:val="696F6F"/>
          <w:w w:val="105"/>
        </w:rPr>
        <w:t>the</w:t>
      </w:r>
      <w:r>
        <w:rPr>
          <w:color w:val="696F6F"/>
          <w:spacing w:val="-11"/>
          <w:w w:val="105"/>
        </w:rPr>
        <w:t> </w:t>
      </w:r>
      <w:r>
        <w:rPr>
          <w:color w:val="696F6F"/>
          <w:w w:val="105"/>
        </w:rPr>
        <w:t>year</w:t>
      </w:r>
      <w:r>
        <w:rPr>
          <w:color w:val="696F6F"/>
          <w:spacing w:val="-11"/>
          <w:w w:val="105"/>
        </w:rPr>
        <w:t> </w:t>
      </w:r>
      <w:r>
        <w:rPr>
          <w:color w:val="696F6F"/>
          <w:w w:val="105"/>
        </w:rPr>
        <w:t>ended</w:t>
      </w:r>
      <w:r>
        <w:rPr>
          <w:color w:val="696F6F"/>
          <w:spacing w:val="-11"/>
          <w:w w:val="105"/>
        </w:rPr>
        <w:t> </w:t>
      </w:r>
      <w:r>
        <w:rPr>
          <w:color w:val="696F6F"/>
          <w:w w:val="105"/>
        </w:rPr>
        <w:t>March</w:t>
      </w:r>
      <w:r>
        <w:rPr>
          <w:color w:val="696F6F"/>
          <w:spacing w:val="-11"/>
          <w:w w:val="105"/>
        </w:rPr>
        <w:t> </w:t>
      </w:r>
      <w:r>
        <w:rPr>
          <w:color w:val="696F6F"/>
          <w:w w:val="105"/>
        </w:rPr>
        <w:t>31,</w:t>
      </w:r>
      <w:r>
        <w:rPr>
          <w:color w:val="696F6F"/>
          <w:spacing w:val="-11"/>
          <w:w w:val="105"/>
        </w:rPr>
        <w:t> </w:t>
      </w:r>
      <w:r>
        <w:rPr>
          <w:color w:val="696F6F"/>
          <w:w w:val="105"/>
        </w:rPr>
        <w:t>20XX.</w:t>
      </w:r>
    </w:p>
    <w:p>
      <w:pPr>
        <w:pStyle w:val="BodyText"/>
        <w:spacing w:before="139"/>
      </w:pPr>
    </w:p>
    <w:p>
      <w:pPr>
        <w:pStyle w:val="Heading1"/>
      </w:pPr>
      <w:r>
        <w:rPr>
          <w:color w:val="111111"/>
        </w:rPr>
        <w:t>Highlights</w:t>
      </w:r>
      <w:r>
        <w:rPr>
          <w:color w:val="111111"/>
          <w:spacing w:val="-1"/>
        </w:rPr>
        <w:t> </w:t>
      </w:r>
      <w:r>
        <w:rPr>
          <w:color w:val="111111"/>
        </w:rPr>
        <w:t>of</w:t>
      </w:r>
      <w:r>
        <w:rPr>
          <w:color w:val="111111"/>
          <w:spacing w:val="-1"/>
        </w:rPr>
        <w:t> </w:t>
      </w:r>
      <w:r>
        <w:rPr>
          <w:color w:val="111111"/>
        </w:rPr>
        <w:t>Financial</w:t>
      </w:r>
      <w:r>
        <w:rPr>
          <w:color w:val="111111"/>
          <w:spacing w:val="-1"/>
        </w:rPr>
        <w:t> </w:t>
      </w:r>
      <w:r>
        <w:rPr>
          <w:color w:val="111111"/>
          <w:spacing w:val="-2"/>
        </w:rPr>
        <w:t>Performance</w:t>
      </w:r>
    </w:p>
    <w:p>
      <w:pPr>
        <w:pStyle w:val="BodyText"/>
        <w:ind w:left="359"/>
      </w:pPr>
      <w:r>
        <w:rPr>
          <w:color w:val="696F6F"/>
        </w:rPr>
        <w:t>The Company has</w:t>
      </w:r>
      <w:r>
        <w:rPr>
          <w:color w:val="696F6F"/>
          <w:spacing w:val="1"/>
        </w:rPr>
        <w:t> </w:t>
      </w:r>
      <w:r>
        <w:rPr>
          <w:color w:val="696F6F"/>
        </w:rPr>
        <w:t>recorded the following</w:t>
      </w:r>
      <w:r>
        <w:rPr>
          <w:color w:val="696F6F"/>
          <w:spacing w:val="1"/>
        </w:rPr>
        <w:t> </w:t>
      </w:r>
      <w:r>
        <w:rPr>
          <w:color w:val="696F6F"/>
        </w:rPr>
        <w:t>financial performance,</w:t>
      </w:r>
      <w:r>
        <w:rPr>
          <w:color w:val="696F6F"/>
          <w:spacing w:val="1"/>
        </w:rPr>
        <w:t> </w:t>
      </w:r>
      <w:r>
        <w:rPr>
          <w:color w:val="696F6F"/>
        </w:rPr>
        <w:t>for the year</w:t>
      </w:r>
      <w:r>
        <w:rPr>
          <w:color w:val="696F6F"/>
          <w:spacing w:val="1"/>
        </w:rPr>
        <w:t> </w:t>
      </w:r>
      <w:r>
        <w:rPr>
          <w:color w:val="696F6F"/>
        </w:rPr>
        <w:t>ended March 31,</w:t>
      </w:r>
      <w:r>
        <w:rPr>
          <w:color w:val="696F6F"/>
          <w:spacing w:val="1"/>
        </w:rPr>
        <w:t> </w:t>
      </w:r>
      <w:r>
        <w:rPr>
          <w:color w:val="696F6F"/>
          <w:spacing w:val="-2"/>
        </w:rPr>
        <w:t>20XX:</w:t>
      </w:r>
    </w:p>
    <w:p>
      <w:pPr>
        <w:pStyle w:val="BodyText"/>
        <w:spacing w:before="78" w:after="1"/>
        <w:rPr>
          <w:sz w:val="20"/>
        </w:rPr>
      </w:pPr>
    </w:p>
    <w:tbl>
      <w:tblPr>
        <w:tblW w:w="0" w:type="auto"/>
        <w:jc w:val="left"/>
        <w:tblInd w:w="284"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4020"/>
        <w:gridCol w:w="2400"/>
        <w:gridCol w:w="2400"/>
      </w:tblGrid>
      <w:tr>
        <w:trPr>
          <w:trHeight w:val="584" w:hRule="atLeast"/>
        </w:trPr>
        <w:tc>
          <w:tcPr>
            <w:tcW w:w="4020" w:type="dxa"/>
          </w:tcPr>
          <w:p>
            <w:pPr>
              <w:pStyle w:val="TableParagraph"/>
              <w:spacing w:before="93"/>
              <w:ind w:left="82"/>
              <w:rPr>
                <w:b/>
                <w:sz w:val="15"/>
              </w:rPr>
            </w:pPr>
            <w:r>
              <w:rPr>
                <w:b/>
                <w:color w:val="333333"/>
                <w:spacing w:val="-2"/>
                <w:sz w:val="15"/>
              </w:rPr>
              <w:t>Particulars</w:t>
            </w:r>
          </w:p>
        </w:tc>
        <w:tc>
          <w:tcPr>
            <w:tcW w:w="2400" w:type="dxa"/>
          </w:tcPr>
          <w:p>
            <w:pPr>
              <w:pStyle w:val="TableParagraph"/>
              <w:spacing w:before="93"/>
              <w:ind w:left="82"/>
              <w:rPr>
                <w:b/>
                <w:sz w:val="15"/>
              </w:rPr>
            </w:pPr>
            <w:r>
              <w:rPr>
                <w:b/>
                <w:color w:val="333333"/>
                <w:spacing w:val="-6"/>
                <w:sz w:val="15"/>
              </w:rPr>
              <w:t>Year</w:t>
            </w:r>
            <w:r>
              <w:rPr>
                <w:b/>
                <w:color w:val="333333"/>
                <w:spacing w:val="-1"/>
                <w:sz w:val="15"/>
              </w:rPr>
              <w:t> </w:t>
            </w:r>
            <w:r>
              <w:rPr>
                <w:b/>
                <w:color w:val="333333"/>
                <w:spacing w:val="-6"/>
                <w:sz w:val="15"/>
              </w:rPr>
              <w:t>Ended</w:t>
            </w:r>
            <w:r>
              <w:rPr>
                <w:b/>
                <w:color w:val="333333"/>
                <w:spacing w:val="2"/>
                <w:sz w:val="15"/>
              </w:rPr>
              <w:t> </w:t>
            </w:r>
            <w:r>
              <w:rPr>
                <w:b/>
                <w:color w:val="333333"/>
                <w:spacing w:val="-6"/>
                <w:sz w:val="15"/>
              </w:rPr>
              <w:t>31st</w:t>
            </w:r>
            <w:r>
              <w:rPr>
                <w:b/>
                <w:color w:val="333333"/>
                <w:spacing w:val="2"/>
                <w:sz w:val="15"/>
              </w:rPr>
              <w:t> </w:t>
            </w:r>
            <w:r>
              <w:rPr>
                <w:b/>
                <w:color w:val="333333"/>
                <w:spacing w:val="-6"/>
                <w:sz w:val="15"/>
              </w:rPr>
              <w:t>March,</w:t>
            </w:r>
            <w:r>
              <w:rPr>
                <w:b/>
                <w:color w:val="333333"/>
                <w:spacing w:val="2"/>
                <w:sz w:val="15"/>
              </w:rPr>
              <w:t> </w:t>
            </w:r>
            <w:r>
              <w:rPr>
                <w:b/>
                <w:color w:val="333333"/>
                <w:spacing w:val="-6"/>
                <w:sz w:val="15"/>
              </w:rPr>
              <w:t>20XX</w:t>
            </w:r>
          </w:p>
        </w:tc>
        <w:tc>
          <w:tcPr>
            <w:tcW w:w="2400" w:type="dxa"/>
          </w:tcPr>
          <w:p>
            <w:pPr>
              <w:pStyle w:val="TableParagraph"/>
              <w:spacing w:before="93"/>
              <w:ind w:left="82"/>
              <w:rPr>
                <w:b/>
                <w:sz w:val="15"/>
              </w:rPr>
            </w:pPr>
            <w:r>
              <w:rPr>
                <w:b/>
                <w:color w:val="333333"/>
                <w:spacing w:val="-6"/>
                <w:sz w:val="15"/>
              </w:rPr>
              <w:t>Year</w:t>
            </w:r>
            <w:r>
              <w:rPr>
                <w:b/>
                <w:color w:val="333333"/>
                <w:spacing w:val="-1"/>
                <w:sz w:val="15"/>
              </w:rPr>
              <w:t> </w:t>
            </w:r>
            <w:r>
              <w:rPr>
                <w:b/>
                <w:color w:val="333333"/>
                <w:spacing w:val="-6"/>
                <w:sz w:val="15"/>
              </w:rPr>
              <w:t>Ended</w:t>
            </w:r>
            <w:r>
              <w:rPr>
                <w:b/>
                <w:color w:val="333333"/>
                <w:spacing w:val="2"/>
                <w:sz w:val="15"/>
              </w:rPr>
              <w:t> </w:t>
            </w:r>
            <w:r>
              <w:rPr>
                <w:b/>
                <w:color w:val="333333"/>
                <w:spacing w:val="-6"/>
                <w:sz w:val="15"/>
              </w:rPr>
              <w:t>31st</w:t>
            </w:r>
            <w:r>
              <w:rPr>
                <w:b/>
                <w:color w:val="333333"/>
                <w:spacing w:val="2"/>
                <w:sz w:val="15"/>
              </w:rPr>
              <w:t> </w:t>
            </w:r>
            <w:r>
              <w:rPr>
                <w:b/>
                <w:color w:val="333333"/>
                <w:spacing w:val="-6"/>
                <w:sz w:val="15"/>
              </w:rPr>
              <w:t>March,</w:t>
            </w:r>
            <w:r>
              <w:rPr>
                <w:b/>
                <w:color w:val="333333"/>
                <w:spacing w:val="2"/>
                <w:sz w:val="15"/>
              </w:rPr>
              <w:t> </w:t>
            </w:r>
            <w:r>
              <w:rPr>
                <w:b/>
                <w:color w:val="333333"/>
                <w:spacing w:val="-6"/>
                <w:sz w:val="15"/>
              </w:rPr>
              <w:t>20XX</w:t>
            </w:r>
          </w:p>
        </w:tc>
      </w:tr>
      <w:tr>
        <w:trPr>
          <w:trHeight w:val="569" w:hRule="atLeast"/>
        </w:trPr>
        <w:tc>
          <w:tcPr>
            <w:tcW w:w="4020" w:type="dxa"/>
          </w:tcPr>
          <w:p>
            <w:pPr>
              <w:pStyle w:val="TableParagraph"/>
              <w:spacing w:before="87"/>
              <w:ind w:left="82"/>
              <w:rPr>
                <w:sz w:val="15"/>
              </w:rPr>
            </w:pPr>
            <w:r>
              <w:rPr>
                <w:color w:val="333333"/>
                <w:spacing w:val="-4"/>
                <w:sz w:val="15"/>
              </w:rPr>
              <w:t>Total</w:t>
            </w:r>
            <w:r>
              <w:rPr>
                <w:color w:val="333333"/>
                <w:spacing w:val="-1"/>
                <w:sz w:val="15"/>
              </w:rPr>
              <w:t> </w:t>
            </w:r>
            <w:r>
              <w:rPr>
                <w:color w:val="333333"/>
                <w:spacing w:val="-2"/>
                <w:sz w:val="15"/>
              </w:rPr>
              <w:t>Income</w:t>
            </w:r>
          </w:p>
        </w:tc>
        <w:tc>
          <w:tcPr>
            <w:tcW w:w="2400" w:type="dxa"/>
          </w:tcPr>
          <w:p>
            <w:pPr>
              <w:pStyle w:val="TableParagraph"/>
              <w:rPr>
                <w:rFonts w:ascii="Times New Roman"/>
                <w:sz w:val="14"/>
              </w:rPr>
            </w:pPr>
          </w:p>
        </w:tc>
        <w:tc>
          <w:tcPr>
            <w:tcW w:w="2400" w:type="dxa"/>
          </w:tcPr>
          <w:p>
            <w:pPr>
              <w:pStyle w:val="TableParagraph"/>
              <w:rPr>
                <w:rFonts w:ascii="Times New Roman"/>
                <w:sz w:val="14"/>
              </w:rPr>
            </w:pPr>
          </w:p>
        </w:tc>
      </w:tr>
      <w:tr>
        <w:trPr>
          <w:trHeight w:val="584" w:hRule="atLeast"/>
        </w:trPr>
        <w:tc>
          <w:tcPr>
            <w:tcW w:w="4020" w:type="dxa"/>
          </w:tcPr>
          <w:p>
            <w:pPr>
              <w:pStyle w:val="TableParagraph"/>
              <w:spacing w:before="96"/>
              <w:ind w:left="82"/>
              <w:rPr>
                <w:b/>
                <w:sz w:val="15"/>
              </w:rPr>
            </w:pPr>
            <w:r>
              <w:rPr>
                <w:b/>
                <w:color w:val="333333"/>
                <w:w w:val="90"/>
                <w:sz w:val="15"/>
              </w:rPr>
              <w:t>Profit</w:t>
            </w:r>
            <w:r>
              <w:rPr>
                <w:b/>
                <w:color w:val="333333"/>
                <w:spacing w:val="6"/>
                <w:sz w:val="15"/>
              </w:rPr>
              <w:t> </w:t>
            </w:r>
            <w:r>
              <w:rPr>
                <w:b/>
                <w:color w:val="333333"/>
                <w:w w:val="90"/>
                <w:sz w:val="15"/>
              </w:rPr>
              <w:t>Before</w:t>
            </w:r>
            <w:r>
              <w:rPr>
                <w:b/>
                <w:color w:val="333333"/>
                <w:spacing w:val="6"/>
                <w:sz w:val="15"/>
              </w:rPr>
              <w:t> </w:t>
            </w:r>
            <w:r>
              <w:rPr>
                <w:b/>
                <w:color w:val="333333"/>
                <w:w w:val="90"/>
                <w:sz w:val="15"/>
              </w:rPr>
              <w:t>Interest,</w:t>
            </w:r>
            <w:r>
              <w:rPr>
                <w:b/>
                <w:color w:val="333333"/>
                <w:spacing w:val="6"/>
                <w:sz w:val="15"/>
              </w:rPr>
              <w:t> </w:t>
            </w:r>
            <w:r>
              <w:rPr>
                <w:b/>
                <w:color w:val="333333"/>
                <w:w w:val="90"/>
                <w:sz w:val="15"/>
              </w:rPr>
              <w:t>Depreciation</w:t>
            </w:r>
            <w:r>
              <w:rPr>
                <w:b/>
                <w:color w:val="333333"/>
                <w:spacing w:val="6"/>
                <w:sz w:val="15"/>
              </w:rPr>
              <w:t> </w:t>
            </w:r>
            <w:r>
              <w:rPr>
                <w:b/>
                <w:color w:val="333333"/>
                <w:w w:val="90"/>
                <w:sz w:val="15"/>
              </w:rPr>
              <w:t>&amp;</w:t>
            </w:r>
            <w:r>
              <w:rPr>
                <w:b/>
                <w:color w:val="333333"/>
                <w:spacing w:val="6"/>
                <w:sz w:val="15"/>
              </w:rPr>
              <w:t> </w:t>
            </w:r>
            <w:r>
              <w:rPr>
                <w:b/>
                <w:color w:val="333333"/>
                <w:w w:val="90"/>
                <w:sz w:val="15"/>
              </w:rPr>
              <w:t>Tax</w:t>
            </w:r>
            <w:r>
              <w:rPr>
                <w:b/>
                <w:color w:val="333333"/>
                <w:spacing w:val="6"/>
                <w:sz w:val="15"/>
              </w:rPr>
              <w:t> </w:t>
            </w:r>
            <w:r>
              <w:rPr>
                <w:b/>
                <w:color w:val="333333"/>
                <w:spacing w:val="-2"/>
                <w:w w:val="90"/>
                <w:sz w:val="15"/>
              </w:rPr>
              <w:t>(EBITDA)</w:t>
            </w:r>
          </w:p>
        </w:tc>
        <w:tc>
          <w:tcPr>
            <w:tcW w:w="2400" w:type="dxa"/>
          </w:tcPr>
          <w:p>
            <w:pPr>
              <w:pStyle w:val="TableParagraph"/>
              <w:rPr>
                <w:rFonts w:ascii="Times New Roman"/>
                <w:sz w:val="14"/>
              </w:rPr>
            </w:pPr>
          </w:p>
        </w:tc>
        <w:tc>
          <w:tcPr>
            <w:tcW w:w="2400" w:type="dxa"/>
          </w:tcPr>
          <w:p>
            <w:pPr>
              <w:pStyle w:val="TableParagraph"/>
              <w:rPr>
                <w:rFonts w:ascii="Times New Roman"/>
                <w:sz w:val="14"/>
              </w:rPr>
            </w:pPr>
          </w:p>
        </w:tc>
      </w:tr>
      <w:tr>
        <w:trPr>
          <w:trHeight w:val="569" w:hRule="atLeast"/>
        </w:trPr>
        <w:tc>
          <w:tcPr>
            <w:tcW w:w="4020" w:type="dxa"/>
          </w:tcPr>
          <w:p>
            <w:pPr>
              <w:pStyle w:val="TableParagraph"/>
              <w:spacing w:before="90"/>
              <w:ind w:left="82"/>
              <w:rPr>
                <w:sz w:val="15"/>
              </w:rPr>
            </w:pPr>
            <w:r>
              <w:rPr>
                <w:color w:val="333333"/>
                <w:sz w:val="15"/>
              </w:rPr>
              <w:t>Finance</w:t>
            </w:r>
            <w:r>
              <w:rPr>
                <w:color w:val="333333"/>
                <w:spacing w:val="14"/>
                <w:sz w:val="15"/>
              </w:rPr>
              <w:t> </w:t>
            </w:r>
            <w:r>
              <w:rPr>
                <w:color w:val="333333"/>
                <w:spacing w:val="-2"/>
                <w:sz w:val="15"/>
              </w:rPr>
              <w:t>Charges</w:t>
            </w:r>
          </w:p>
        </w:tc>
        <w:tc>
          <w:tcPr>
            <w:tcW w:w="2400" w:type="dxa"/>
          </w:tcPr>
          <w:p>
            <w:pPr>
              <w:pStyle w:val="TableParagraph"/>
              <w:rPr>
                <w:rFonts w:ascii="Times New Roman"/>
                <w:sz w:val="14"/>
              </w:rPr>
            </w:pPr>
          </w:p>
        </w:tc>
        <w:tc>
          <w:tcPr>
            <w:tcW w:w="2400" w:type="dxa"/>
          </w:tcPr>
          <w:p>
            <w:pPr>
              <w:pStyle w:val="TableParagraph"/>
              <w:rPr>
                <w:rFonts w:ascii="Times New Roman"/>
                <w:sz w:val="14"/>
              </w:rPr>
            </w:pPr>
          </w:p>
        </w:tc>
      </w:tr>
      <w:tr>
        <w:trPr>
          <w:trHeight w:val="584" w:hRule="atLeast"/>
        </w:trPr>
        <w:tc>
          <w:tcPr>
            <w:tcW w:w="4020" w:type="dxa"/>
          </w:tcPr>
          <w:p>
            <w:pPr>
              <w:pStyle w:val="TableParagraph"/>
              <w:spacing w:before="99"/>
              <w:ind w:left="82"/>
              <w:rPr>
                <w:sz w:val="15"/>
              </w:rPr>
            </w:pPr>
            <w:r>
              <w:rPr>
                <w:color w:val="333333"/>
                <w:spacing w:val="-2"/>
                <w:sz w:val="15"/>
              </w:rPr>
              <w:t>Depreciation</w:t>
            </w:r>
          </w:p>
        </w:tc>
        <w:tc>
          <w:tcPr>
            <w:tcW w:w="2400" w:type="dxa"/>
          </w:tcPr>
          <w:p>
            <w:pPr>
              <w:pStyle w:val="TableParagraph"/>
              <w:rPr>
                <w:rFonts w:ascii="Times New Roman"/>
                <w:sz w:val="14"/>
              </w:rPr>
            </w:pPr>
          </w:p>
        </w:tc>
        <w:tc>
          <w:tcPr>
            <w:tcW w:w="2400" w:type="dxa"/>
          </w:tcPr>
          <w:p>
            <w:pPr>
              <w:pStyle w:val="TableParagraph"/>
              <w:rPr>
                <w:rFonts w:ascii="Times New Roman"/>
                <w:sz w:val="14"/>
              </w:rPr>
            </w:pPr>
          </w:p>
        </w:tc>
      </w:tr>
      <w:tr>
        <w:trPr>
          <w:trHeight w:val="584" w:hRule="atLeast"/>
        </w:trPr>
        <w:tc>
          <w:tcPr>
            <w:tcW w:w="4020" w:type="dxa"/>
          </w:tcPr>
          <w:p>
            <w:pPr>
              <w:pStyle w:val="TableParagraph"/>
              <w:spacing w:before="93"/>
              <w:ind w:left="82"/>
              <w:rPr>
                <w:sz w:val="15"/>
              </w:rPr>
            </w:pPr>
            <w:r>
              <w:rPr>
                <w:color w:val="333333"/>
                <w:sz w:val="15"/>
              </w:rPr>
              <w:t>Provision</w:t>
            </w:r>
            <w:r>
              <w:rPr>
                <w:color w:val="333333"/>
                <w:spacing w:val="-2"/>
                <w:sz w:val="15"/>
              </w:rPr>
              <w:t> </w:t>
            </w:r>
            <w:r>
              <w:rPr>
                <w:color w:val="333333"/>
                <w:sz w:val="15"/>
              </w:rPr>
              <w:t>for</w:t>
            </w:r>
            <w:r>
              <w:rPr>
                <w:color w:val="333333"/>
                <w:spacing w:val="-1"/>
                <w:sz w:val="15"/>
              </w:rPr>
              <w:t> </w:t>
            </w:r>
            <w:r>
              <w:rPr>
                <w:color w:val="333333"/>
                <w:sz w:val="15"/>
              </w:rPr>
              <w:t>Income</w:t>
            </w:r>
            <w:r>
              <w:rPr>
                <w:color w:val="333333"/>
                <w:spacing w:val="-2"/>
                <w:sz w:val="15"/>
              </w:rPr>
              <w:t> </w:t>
            </w:r>
            <w:r>
              <w:rPr>
                <w:color w:val="333333"/>
                <w:spacing w:val="-5"/>
                <w:sz w:val="15"/>
              </w:rPr>
              <w:t>Tax</w:t>
            </w:r>
          </w:p>
        </w:tc>
        <w:tc>
          <w:tcPr>
            <w:tcW w:w="2400" w:type="dxa"/>
          </w:tcPr>
          <w:p>
            <w:pPr>
              <w:pStyle w:val="TableParagraph"/>
              <w:rPr>
                <w:rFonts w:ascii="Times New Roman"/>
                <w:sz w:val="14"/>
              </w:rPr>
            </w:pPr>
          </w:p>
        </w:tc>
        <w:tc>
          <w:tcPr>
            <w:tcW w:w="2400" w:type="dxa"/>
          </w:tcPr>
          <w:p>
            <w:pPr>
              <w:pStyle w:val="TableParagraph"/>
              <w:rPr>
                <w:rFonts w:ascii="Times New Roman"/>
                <w:sz w:val="14"/>
              </w:rPr>
            </w:pPr>
          </w:p>
        </w:tc>
      </w:tr>
      <w:tr>
        <w:trPr>
          <w:trHeight w:val="569" w:hRule="atLeast"/>
        </w:trPr>
        <w:tc>
          <w:tcPr>
            <w:tcW w:w="4020" w:type="dxa"/>
          </w:tcPr>
          <w:p>
            <w:pPr>
              <w:pStyle w:val="TableParagraph"/>
              <w:spacing w:before="87"/>
              <w:ind w:left="82"/>
              <w:rPr>
                <w:b/>
                <w:sz w:val="15"/>
              </w:rPr>
            </w:pPr>
            <w:r>
              <w:rPr>
                <w:b/>
                <w:color w:val="333333"/>
                <w:w w:val="90"/>
                <w:sz w:val="15"/>
              </w:rPr>
              <w:t>Profit/(Loss)</w:t>
            </w:r>
            <w:r>
              <w:rPr>
                <w:b/>
                <w:color w:val="333333"/>
                <w:spacing w:val="-3"/>
                <w:w w:val="90"/>
                <w:sz w:val="15"/>
              </w:rPr>
              <w:t> </w:t>
            </w:r>
            <w:r>
              <w:rPr>
                <w:b/>
                <w:color w:val="333333"/>
                <w:w w:val="90"/>
                <w:sz w:val="15"/>
              </w:rPr>
              <w:t>After</w:t>
            </w:r>
            <w:r>
              <w:rPr>
                <w:b/>
                <w:color w:val="333333"/>
                <w:spacing w:val="-2"/>
                <w:w w:val="90"/>
                <w:sz w:val="15"/>
              </w:rPr>
              <w:t> </w:t>
            </w:r>
            <w:r>
              <w:rPr>
                <w:b/>
                <w:color w:val="333333"/>
                <w:spacing w:val="-5"/>
                <w:w w:val="90"/>
                <w:sz w:val="15"/>
              </w:rPr>
              <w:t>Tax</w:t>
            </w:r>
          </w:p>
        </w:tc>
        <w:tc>
          <w:tcPr>
            <w:tcW w:w="2400" w:type="dxa"/>
          </w:tcPr>
          <w:p>
            <w:pPr>
              <w:pStyle w:val="TableParagraph"/>
              <w:rPr>
                <w:rFonts w:ascii="Times New Roman"/>
                <w:sz w:val="14"/>
              </w:rPr>
            </w:pPr>
          </w:p>
        </w:tc>
        <w:tc>
          <w:tcPr>
            <w:tcW w:w="2400" w:type="dxa"/>
          </w:tcPr>
          <w:p>
            <w:pPr>
              <w:pStyle w:val="TableParagraph"/>
              <w:rPr>
                <w:rFonts w:ascii="Times New Roman"/>
                <w:sz w:val="14"/>
              </w:rPr>
            </w:pPr>
          </w:p>
        </w:tc>
      </w:tr>
      <w:tr>
        <w:trPr>
          <w:trHeight w:val="584" w:hRule="atLeast"/>
        </w:trPr>
        <w:tc>
          <w:tcPr>
            <w:tcW w:w="4020" w:type="dxa"/>
          </w:tcPr>
          <w:p>
            <w:pPr>
              <w:pStyle w:val="TableParagraph"/>
              <w:spacing w:before="96"/>
              <w:ind w:left="82"/>
              <w:rPr>
                <w:sz w:val="15"/>
              </w:rPr>
            </w:pPr>
            <w:r>
              <w:rPr>
                <w:color w:val="333333"/>
                <w:spacing w:val="-2"/>
                <w:sz w:val="15"/>
              </w:rPr>
              <w:t>Transferred</w:t>
            </w:r>
            <w:r>
              <w:rPr>
                <w:color w:val="333333"/>
                <w:sz w:val="15"/>
              </w:rPr>
              <w:t> </w:t>
            </w:r>
            <w:r>
              <w:rPr>
                <w:color w:val="333333"/>
                <w:spacing w:val="-2"/>
                <w:sz w:val="15"/>
              </w:rPr>
              <w:t>to</w:t>
            </w:r>
            <w:r>
              <w:rPr>
                <w:color w:val="333333"/>
                <w:spacing w:val="1"/>
                <w:sz w:val="15"/>
              </w:rPr>
              <w:t> </w:t>
            </w:r>
            <w:r>
              <w:rPr>
                <w:color w:val="333333"/>
                <w:spacing w:val="-2"/>
                <w:sz w:val="15"/>
              </w:rPr>
              <w:t>General</w:t>
            </w:r>
            <w:r>
              <w:rPr>
                <w:color w:val="333333"/>
                <w:spacing w:val="1"/>
                <w:sz w:val="15"/>
              </w:rPr>
              <w:t> </w:t>
            </w:r>
            <w:r>
              <w:rPr>
                <w:color w:val="333333"/>
                <w:spacing w:val="-2"/>
                <w:sz w:val="15"/>
              </w:rPr>
              <w:t>Reserve</w:t>
            </w:r>
          </w:p>
        </w:tc>
        <w:tc>
          <w:tcPr>
            <w:tcW w:w="2400" w:type="dxa"/>
          </w:tcPr>
          <w:p>
            <w:pPr>
              <w:pStyle w:val="TableParagraph"/>
              <w:rPr>
                <w:rFonts w:ascii="Times New Roman"/>
                <w:sz w:val="14"/>
              </w:rPr>
            </w:pPr>
          </w:p>
        </w:tc>
        <w:tc>
          <w:tcPr>
            <w:tcW w:w="2400" w:type="dxa"/>
          </w:tcPr>
          <w:p>
            <w:pPr>
              <w:pStyle w:val="TableParagraph"/>
              <w:rPr>
                <w:rFonts w:ascii="Times New Roman"/>
                <w:sz w:val="14"/>
              </w:rPr>
            </w:pPr>
          </w:p>
        </w:tc>
      </w:tr>
      <w:tr>
        <w:trPr>
          <w:trHeight w:val="569" w:hRule="atLeast"/>
        </w:trPr>
        <w:tc>
          <w:tcPr>
            <w:tcW w:w="4020" w:type="dxa"/>
          </w:tcPr>
          <w:p>
            <w:pPr>
              <w:pStyle w:val="TableParagraph"/>
              <w:spacing w:before="90"/>
              <w:ind w:left="82"/>
              <w:rPr>
                <w:b/>
                <w:sz w:val="15"/>
              </w:rPr>
            </w:pPr>
            <w:r>
              <w:rPr>
                <w:b/>
                <w:color w:val="333333"/>
                <w:spacing w:val="-2"/>
                <w:sz w:val="15"/>
              </w:rPr>
              <w:t>Closing</w:t>
            </w:r>
            <w:r>
              <w:rPr>
                <w:b/>
                <w:color w:val="333333"/>
                <w:spacing w:val="-1"/>
                <w:sz w:val="15"/>
              </w:rPr>
              <w:t> </w:t>
            </w:r>
            <w:r>
              <w:rPr>
                <w:b/>
                <w:color w:val="333333"/>
                <w:spacing w:val="-2"/>
                <w:sz w:val="15"/>
              </w:rPr>
              <w:t>Balance</w:t>
            </w:r>
          </w:p>
        </w:tc>
        <w:tc>
          <w:tcPr>
            <w:tcW w:w="2400" w:type="dxa"/>
          </w:tcPr>
          <w:p>
            <w:pPr>
              <w:pStyle w:val="TableParagraph"/>
              <w:rPr>
                <w:rFonts w:ascii="Times New Roman"/>
                <w:sz w:val="14"/>
              </w:rPr>
            </w:pPr>
          </w:p>
        </w:tc>
        <w:tc>
          <w:tcPr>
            <w:tcW w:w="2400" w:type="dxa"/>
          </w:tcPr>
          <w:p>
            <w:pPr>
              <w:pStyle w:val="TableParagraph"/>
              <w:rPr>
                <w:rFonts w:ascii="Times New Roman"/>
                <w:sz w:val="14"/>
              </w:rPr>
            </w:pPr>
          </w:p>
        </w:tc>
      </w:tr>
    </w:tbl>
    <w:p>
      <w:pPr>
        <w:pStyle w:val="Heading1"/>
        <w:spacing w:before="23"/>
      </w:pPr>
      <w:r>
        <w:rPr>
          <w:color w:val="111111"/>
        </w:rPr>
        <w:t>Summary</w:t>
      </w:r>
      <w:r>
        <w:rPr>
          <w:color w:val="111111"/>
          <w:spacing w:val="-1"/>
        </w:rPr>
        <w:t> </w:t>
      </w:r>
      <w:r>
        <w:rPr>
          <w:color w:val="111111"/>
        </w:rPr>
        <w:t>of</w:t>
      </w:r>
      <w:r>
        <w:rPr>
          <w:color w:val="111111"/>
          <w:spacing w:val="-1"/>
        </w:rPr>
        <w:t> </w:t>
      </w:r>
      <w:r>
        <w:rPr>
          <w:color w:val="111111"/>
          <w:spacing w:val="-2"/>
        </w:rPr>
        <w:t>Operations</w:t>
      </w:r>
    </w:p>
    <w:p>
      <w:pPr>
        <w:pStyle w:val="Heading2"/>
        <w:spacing w:before="105"/>
      </w:pPr>
      <w:r>
        <w:rPr>
          <w:color w:val="FF0000"/>
        </w:rPr>
        <w:t>In</w:t>
      </w:r>
      <w:r>
        <w:rPr>
          <w:color w:val="FF0000"/>
          <w:spacing w:val="-1"/>
        </w:rPr>
        <w:t> </w:t>
      </w:r>
      <w:r>
        <w:rPr>
          <w:color w:val="FF0000"/>
        </w:rPr>
        <w:t>Case</w:t>
      </w:r>
      <w:r>
        <w:rPr>
          <w:color w:val="FF0000"/>
          <w:spacing w:val="-1"/>
        </w:rPr>
        <w:t> </w:t>
      </w:r>
      <w:r>
        <w:rPr>
          <w:color w:val="FF0000"/>
        </w:rPr>
        <w:t>of</w:t>
      </w:r>
      <w:r>
        <w:rPr>
          <w:color w:val="FF0000"/>
          <w:spacing w:val="-1"/>
        </w:rPr>
        <w:t> </w:t>
      </w:r>
      <w:r>
        <w:rPr>
          <w:color w:val="FF0000"/>
          <w:spacing w:val="-2"/>
        </w:rPr>
        <w:t>Profit</w:t>
      </w:r>
    </w:p>
    <w:p>
      <w:pPr>
        <w:pStyle w:val="BodyText"/>
        <w:spacing w:before="57"/>
        <w:rPr>
          <w:rFonts w:ascii="Arial"/>
          <w:b/>
          <w:sz w:val="19"/>
        </w:rPr>
      </w:pPr>
    </w:p>
    <w:p>
      <w:pPr>
        <w:pStyle w:val="ListParagraph"/>
        <w:numPr>
          <w:ilvl w:val="0"/>
          <w:numId w:val="1"/>
        </w:numPr>
        <w:tabs>
          <w:tab w:pos="1079" w:val="left" w:leader="none"/>
          <w:tab w:pos="6751" w:val="left" w:leader="none"/>
          <w:tab w:pos="7885" w:val="left" w:leader="none"/>
          <w:tab w:pos="9147" w:val="left" w:leader="none"/>
        </w:tabs>
        <w:spacing w:line="240" w:lineRule="auto" w:before="0" w:after="0"/>
        <w:ind w:left="1079" w:right="0" w:hanging="360"/>
        <w:jc w:val="left"/>
        <w:rPr>
          <w:sz w:val="15"/>
        </w:rPr>
      </w:pPr>
      <w:r>
        <w:rPr>
          <w:color w:val="333333"/>
          <w:sz w:val="15"/>
        </w:rPr>
        <w:t>During</w:t>
      </w:r>
      <w:r>
        <w:rPr>
          <w:color w:val="333333"/>
          <w:spacing w:val="-4"/>
          <w:sz w:val="15"/>
        </w:rPr>
        <w:t> </w:t>
      </w:r>
      <w:r>
        <w:rPr>
          <w:color w:val="333333"/>
          <w:sz w:val="15"/>
        </w:rPr>
        <w:t>the</w:t>
      </w:r>
      <w:r>
        <w:rPr>
          <w:color w:val="333333"/>
          <w:spacing w:val="-4"/>
          <w:sz w:val="15"/>
        </w:rPr>
        <w:t> </w:t>
      </w:r>
      <w:r>
        <w:rPr>
          <w:color w:val="333333"/>
          <w:sz w:val="15"/>
        </w:rPr>
        <w:t>year,</w:t>
      </w:r>
      <w:r>
        <w:rPr>
          <w:color w:val="333333"/>
          <w:spacing w:val="-4"/>
          <w:sz w:val="15"/>
        </w:rPr>
        <w:t> </w:t>
      </w:r>
      <w:r>
        <w:rPr>
          <w:color w:val="333333"/>
          <w:sz w:val="15"/>
        </w:rPr>
        <w:t>the</w:t>
      </w:r>
      <w:r>
        <w:rPr>
          <w:color w:val="333333"/>
          <w:spacing w:val="-4"/>
          <w:sz w:val="15"/>
        </w:rPr>
        <w:t> </w:t>
      </w:r>
      <w:r>
        <w:rPr>
          <w:color w:val="333333"/>
          <w:sz w:val="15"/>
        </w:rPr>
        <w:t>net</w:t>
      </w:r>
      <w:r>
        <w:rPr>
          <w:color w:val="333333"/>
          <w:spacing w:val="-4"/>
          <w:sz w:val="15"/>
        </w:rPr>
        <w:t> </w:t>
      </w:r>
      <w:r>
        <w:rPr>
          <w:color w:val="333333"/>
          <w:sz w:val="15"/>
        </w:rPr>
        <w:t>revenue</w:t>
      </w:r>
      <w:r>
        <w:rPr>
          <w:color w:val="333333"/>
          <w:spacing w:val="-4"/>
          <w:sz w:val="15"/>
        </w:rPr>
        <w:t> </w:t>
      </w:r>
      <w:r>
        <w:rPr>
          <w:color w:val="333333"/>
          <w:sz w:val="15"/>
        </w:rPr>
        <w:t>from</w:t>
      </w:r>
      <w:r>
        <w:rPr>
          <w:color w:val="333333"/>
          <w:spacing w:val="-4"/>
          <w:sz w:val="15"/>
        </w:rPr>
        <w:t> </w:t>
      </w:r>
      <w:r>
        <w:rPr>
          <w:color w:val="333333"/>
          <w:sz w:val="15"/>
        </w:rPr>
        <w:t>operations</w:t>
      </w:r>
      <w:r>
        <w:rPr>
          <w:color w:val="333333"/>
          <w:spacing w:val="-4"/>
          <w:sz w:val="15"/>
        </w:rPr>
        <w:t> </w:t>
      </w:r>
      <w:r>
        <w:rPr>
          <w:color w:val="333333"/>
          <w:sz w:val="15"/>
        </w:rPr>
        <w:t>of</w:t>
      </w:r>
      <w:r>
        <w:rPr>
          <w:color w:val="333333"/>
          <w:spacing w:val="-4"/>
          <w:sz w:val="15"/>
        </w:rPr>
        <w:t> </w:t>
      </w:r>
      <w:r>
        <w:rPr>
          <w:color w:val="333333"/>
          <w:sz w:val="15"/>
        </w:rPr>
        <w:t>your</w:t>
      </w:r>
      <w:r>
        <w:rPr>
          <w:color w:val="333333"/>
          <w:spacing w:val="-4"/>
          <w:sz w:val="15"/>
        </w:rPr>
        <w:t> </w:t>
      </w:r>
      <w:r>
        <w:rPr>
          <w:color w:val="333333"/>
          <w:sz w:val="15"/>
        </w:rPr>
        <w:t>Company</w:t>
      </w:r>
      <w:r>
        <w:rPr>
          <w:color w:val="333333"/>
          <w:spacing w:val="-4"/>
          <w:sz w:val="15"/>
        </w:rPr>
        <w:t> </w:t>
      </w:r>
      <w:r>
        <w:rPr>
          <w:color w:val="333333"/>
          <w:sz w:val="15"/>
        </w:rPr>
        <w:t>increased</w:t>
      </w:r>
      <w:r>
        <w:rPr>
          <w:color w:val="333333"/>
          <w:spacing w:val="-4"/>
          <w:sz w:val="15"/>
        </w:rPr>
        <w:t> </w:t>
      </w:r>
      <w:r>
        <w:rPr>
          <w:color w:val="333333"/>
          <w:sz w:val="15"/>
        </w:rPr>
        <w:t>by</w:t>
      </w:r>
      <w:r>
        <w:rPr>
          <w:color w:val="333333"/>
          <w:spacing w:val="-4"/>
          <w:sz w:val="15"/>
        </w:rPr>
        <w:t> </w:t>
      </w:r>
      <w:r>
        <w:rPr>
          <w:rFonts w:ascii="Times New Roman" w:hAnsi="Times New Roman"/>
          <w:color w:val="333333"/>
          <w:sz w:val="15"/>
          <w:u w:val="single" w:color="323232"/>
        </w:rPr>
        <w:tab/>
      </w:r>
      <w:r>
        <w:rPr>
          <w:color w:val="333333"/>
          <w:sz w:val="15"/>
        </w:rPr>
        <w:t>%,</w:t>
      </w:r>
      <w:r>
        <w:rPr>
          <w:color w:val="333333"/>
          <w:spacing w:val="-8"/>
          <w:sz w:val="15"/>
        </w:rPr>
        <w:t> </w:t>
      </w:r>
      <w:r>
        <w:rPr>
          <w:color w:val="333333"/>
          <w:sz w:val="15"/>
        </w:rPr>
        <w:t>from</w:t>
      </w:r>
      <w:r>
        <w:rPr>
          <w:color w:val="333333"/>
          <w:spacing w:val="-8"/>
          <w:sz w:val="15"/>
        </w:rPr>
        <w:t> </w:t>
      </w:r>
      <w:r>
        <w:rPr>
          <w:color w:val="333333"/>
          <w:sz w:val="15"/>
        </w:rPr>
        <w:t>Rs</w:t>
      </w:r>
      <w:r>
        <w:rPr>
          <w:color w:val="333333"/>
          <w:spacing w:val="-8"/>
          <w:sz w:val="15"/>
        </w:rPr>
        <w:t> </w:t>
      </w:r>
      <w:r>
        <w:rPr>
          <w:rFonts w:ascii="Times New Roman" w:hAnsi="Times New Roman"/>
          <w:color w:val="333333"/>
          <w:sz w:val="15"/>
          <w:u w:val="single" w:color="323232"/>
        </w:rPr>
        <w:tab/>
      </w:r>
      <w:r>
        <w:rPr>
          <w:color w:val="333333"/>
          <w:sz w:val="15"/>
        </w:rPr>
        <w:t>Crores</w:t>
      </w:r>
      <w:r>
        <w:rPr>
          <w:color w:val="333333"/>
          <w:spacing w:val="-1"/>
          <w:sz w:val="15"/>
        </w:rPr>
        <w:t> </w:t>
      </w:r>
      <w:r>
        <w:rPr>
          <w:color w:val="333333"/>
          <w:sz w:val="15"/>
        </w:rPr>
        <w:t>to</w:t>
      </w:r>
      <w:r>
        <w:rPr>
          <w:color w:val="333333"/>
          <w:spacing w:val="-1"/>
          <w:sz w:val="15"/>
        </w:rPr>
        <w:t> </w:t>
      </w:r>
      <w:r>
        <w:rPr>
          <w:color w:val="333333"/>
          <w:sz w:val="15"/>
        </w:rPr>
        <w:t>Rs.</w:t>
      </w:r>
      <w:r>
        <w:rPr>
          <w:color w:val="333333"/>
          <w:spacing w:val="-1"/>
          <w:sz w:val="15"/>
        </w:rPr>
        <w:t> </w:t>
      </w:r>
      <w:r>
        <w:rPr>
          <w:rFonts w:ascii="Times New Roman" w:hAnsi="Times New Roman"/>
          <w:color w:val="333333"/>
          <w:sz w:val="15"/>
          <w:u w:val="single" w:color="323232"/>
        </w:rPr>
        <w:tab/>
      </w:r>
      <w:r>
        <w:rPr>
          <w:color w:val="333333"/>
          <w:spacing w:val="-2"/>
          <w:sz w:val="15"/>
        </w:rPr>
        <w:t>Crores.</w:t>
      </w:r>
    </w:p>
    <w:p>
      <w:pPr>
        <w:pStyle w:val="ListParagraph"/>
        <w:numPr>
          <w:ilvl w:val="0"/>
          <w:numId w:val="1"/>
        </w:numPr>
        <w:tabs>
          <w:tab w:pos="1079" w:val="left" w:leader="none"/>
          <w:tab w:pos="4339" w:val="left" w:leader="none"/>
          <w:tab w:pos="6047" w:val="left" w:leader="none"/>
        </w:tabs>
        <w:spacing w:line="240" w:lineRule="auto" w:before="7" w:after="0"/>
        <w:ind w:left="1079" w:right="0" w:hanging="360"/>
        <w:jc w:val="left"/>
        <w:rPr>
          <w:sz w:val="15"/>
        </w:rPr>
      </w:pPr>
      <w:r>
        <w:rPr>
          <w:color w:val="333333"/>
          <w:sz w:val="15"/>
        </w:rPr>
        <w:t>The</w:t>
      </w:r>
      <w:r>
        <w:rPr>
          <w:color w:val="333333"/>
          <w:spacing w:val="-2"/>
          <w:sz w:val="15"/>
        </w:rPr>
        <w:t> </w:t>
      </w:r>
      <w:r>
        <w:rPr>
          <w:color w:val="333333"/>
          <w:sz w:val="15"/>
        </w:rPr>
        <w:t>Company’s</w:t>
      </w:r>
      <w:r>
        <w:rPr>
          <w:color w:val="333333"/>
          <w:spacing w:val="-1"/>
          <w:sz w:val="15"/>
        </w:rPr>
        <w:t> </w:t>
      </w:r>
      <w:r>
        <w:rPr>
          <w:color w:val="333333"/>
          <w:sz w:val="15"/>
        </w:rPr>
        <w:t>profit</w:t>
      </w:r>
      <w:r>
        <w:rPr>
          <w:color w:val="333333"/>
          <w:spacing w:val="-2"/>
          <w:sz w:val="15"/>
        </w:rPr>
        <w:t> </w:t>
      </w:r>
      <w:r>
        <w:rPr>
          <w:color w:val="333333"/>
          <w:sz w:val="15"/>
        </w:rPr>
        <w:t>after</w:t>
      </w:r>
      <w:r>
        <w:rPr>
          <w:color w:val="333333"/>
          <w:spacing w:val="-1"/>
          <w:sz w:val="15"/>
        </w:rPr>
        <w:t> </w:t>
      </w:r>
      <w:r>
        <w:rPr>
          <w:color w:val="333333"/>
          <w:sz w:val="15"/>
        </w:rPr>
        <w:t>tax</w:t>
      </w:r>
      <w:r>
        <w:rPr>
          <w:color w:val="333333"/>
          <w:spacing w:val="-2"/>
          <w:sz w:val="15"/>
        </w:rPr>
        <w:t> </w:t>
      </w:r>
      <w:r>
        <w:rPr>
          <w:color w:val="333333"/>
          <w:sz w:val="15"/>
        </w:rPr>
        <w:t>stood</w:t>
      </w:r>
      <w:r>
        <w:rPr>
          <w:color w:val="333333"/>
          <w:spacing w:val="-1"/>
          <w:sz w:val="15"/>
        </w:rPr>
        <w:t> </w:t>
      </w:r>
      <w:r>
        <w:rPr>
          <w:color w:val="333333"/>
          <w:sz w:val="15"/>
        </w:rPr>
        <w:t>at</w:t>
      </w:r>
      <w:r>
        <w:rPr>
          <w:color w:val="333333"/>
          <w:spacing w:val="-2"/>
          <w:sz w:val="15"/>
        </w:rPr>
        <w:t> </w:t>
      </w:r>
      <w:r>
        <w:rPr>
          <w:color w:val="333333"/>
          <w:sz w:val="15"/>
        </w:rPr>
        <w:t>Rs.</w:t>
      </w:r>
      <w:r>
        <w:rPr>
          <w:color w:val="333333"/>
          <w:spacing w:val="-1"/>
          <w:sz w:val="15"/>
        </w:rPr>
        <w:t> </w:t>
      </w:r>
      <w:r>
        <w:rPr>
          <w:rFonts w:ascii="Times New Roman" w:hAnsi="Times New Roman"/>
          <w:color w:val="333333"/>
          <w:sz w:val="15"/>
          <w:u w:val="single" w:color="323232"/>
        </w:rPr>
        <w:tab/>
      </w:r>
      <w:r>
        <w:rPr>
          <w:rFonts w:ascii="Times New Roman" w:hAnsi="Times New Roman"/>
          <w:color w:val="333333"/>
          <w:spacing w:val="33"/>
          <w:sz w:val="15"/>
        </w:rPr>
        <w:t> </w:t>
      </w:r>
      <w:r>
        <w:rPr>
          <w:color w:val="333333"/>
          <w:sz w:val="15"/>
        </w:rPr>
        <w:t>crore vis-à-vis Rs. </w:t>
      </w:r>
      <w:r>
        <w:rPr>
          <w:rFonts w:ascii="Times New Roman" w:hAnsi="Times New Roman"/>
          <w:color w:val="333333"/>
          <w:sz w:val="15"/>
          <w:u w:val="single" w:color="323232"/>
        </w:rPr>
        <w:tab/>
      </w:r>
      <w:r>
        <w:rPr>
          <w:color w:val="333333"/>
          <w:sz w:val="15"/>
        </w:rPr>
        <w:t>crore</w:t>
      </w:r>
      <w:r>
        <w:rPr>
          <w:color w:val="333333"/>
          <w:spacing w:val="-8"/>
          <w:sz w:val="15"/>
        </w:rPr>
        <w:t> </w:t>
      </w:r>
      <w:r>
        <w:rPr>
          <w:color w:val="333333"/>
          <w:sz w:val="15"/>
        </w:rPr>
        <w:t>in</w:t>
      </w:r>
      <w:r>
        <w:rPr>
          <w:color w:val="333333"/>
          <w:spacing w:val="-7"/>
          <w:sz w:val="15"/>
        </w:rPr>
        <w:t> </w:t>
      </w:r>
      <w:r>
        <w:rPr>
          <w:color w:val="333333"/>
          <w:sz w:val="15"/>
        </w:rPr>
        <w:t>the</w:t>
      </w:r>
      <w:r>
        <w:rPr>
          <w:color w:val="333333"/>
          <w:spacing w:val="-8"/>
          <w:sz w:val="15"/>
        </w:rPr>
        <w:t> </w:t>
      </w:r>
      <w:r>
        <w:rPr>
          <w:color w:val="333333"/>
          <w:sz w:val="15"/>
        </w:rPr>
        <w:t>previous</w:t>
      </w:r>
      <w:r>
        <w:rPr>
          <w:color w:val="333333"/>
          <w:spacing w:val="-7"/>
          <w:sz w:val="15"/>
        </w:rPr>
        <w:t> </w:t>
      </w:r>
      <w:r>
        <w:rPr>
          <w:color w:val="333333"/>
          <w:sz w:val="15"/>
        </w:rPr>
        <w:t>year,</w:t>
      </w:r>
      <w:r>
        <w:rPr>
          <w:color w:val="333333"/>
          <w:spacing w:val="-8"/>
          <w:sz w:val="15"/>
        </w:rPr>
        <w:t> </w:t>
      </w:r>
      <w:r>
        <w:rPr>
          <w:color w:val="333333"/>
          <w:sz w:val="15"/>
        </w:rPr>
        <w:t>registering</w:t>
      </w:r>
      <w:r>
        <w:rPr>
          <w:color w:val="333333"/>
          <w:spacing w:val="-7"/>
          <w:sz w:val="15"/>
        </w:rPr>
        <w:t> </w:t>
      </w:r>
      <w:r>
        <w:rPr>
          <w:color w:val="333333"/>
          <w:sz w:val="15"/>
        </w:rPr>
        <w:t>a</w:t>
      </w:r>
      <w:r>
        <w:rPr>
          <w:color w:val="333333"/>
          <w:spacing w:val="-8"/>
          <w:sz w:val="15"/>
        </w:rPr>
        <w:t> </w:t>
      </w:r>
      <w:r>
        <w:rPr>
          <w:color w:val="333333"/>
          <w:sz w:val="15"/>
        </w:rPr>
        <w:t>growth</w:t>
      </w:r>
      <w:r>
        <w:rPr>
          <w:color w:val="333333"/>
          <w:spacing w:val="-7"/>
          <w:sz w:val="15"/>
        </w:rPr>
        <w:t> </w:t>
      </w:r>
      <w:r>
        <w:rPr>
          <w:color w:val="333333"/>
          <w:spacing w:val="-5"/>
          <w:sz w:val="15"/>
        </w:rPr>
        <w:t>of</w:t>
      </w:r>
    </w:p>
    <w:p>
      <w:pPr>
        <w:tabs>
          <w:tab w:pos="1529" w:val="left" w:leader="none"/>
        </w:tabs>
        <w:spacing w:before="8"/>
        <w:ind w:left="1079" w:right="0" w:firstLine="0"/>
        <w:jc w:val="left"/>
        <w:rPr>
          <w:sz w:val="15"/>
        </w:rPr>
      </w:pPr>
      <w:r>
        <w:rPr>
          <w:rFonts w:ascii="Times New Roman"/>
          <w:color w:val="333333"/>
          <w:sz w:val="15"/>
          <w:u w:val="single" w:color="323232"/>
        </w:rPr>
        <w:tab/>
      </w:r>
      <w:r>
        <w:rPr>
          <w:color w:val="333333"/>
          <w:spacing w:val="-5"/>
          <w:sz w:val="15"/>
        </w:rPr>
        <w:t>%.</w:t>
      </w:r>
    </w:p>
    <w:p>
      <w:pPr>
        <w:pStyle w:val="BodyText"/>
        <w:spacing w:before="63"/>
        <w:rPr>
          <w:sz w:val="19"/>
        </w:rPr>
      </w:pPr>
    </w:p>
    <w:p>
      <w:pPr>
        <w:pStyle w:val="Heading2"/>
      </w:pPr>
      <w:r>
        <w:rPr>
          <w:color w:val="FF0000"/>
        </w:rPr>
        <w:t>In</w:t>
      </w:r>
      <w:r>
        <w:rPr>
          <w:color w:val="FF0000"/>
          <w:spacing w:val="-1"/>
        </w:rPr>
        <w:t> </w:t>
      </w:r>
      <w:r>
        <w:rPr>
          <w:color w:val="FF0000"/>
        </w:rPr>
        <w:t>Case</w:t>
      </w:r>
      <w:r>
        <w:rPr>
          <w:color w:val="FF0000"/>
          <w:spacing w:val="-1"/>
        </w:rPr>
        <w:t> </w:t>
      </w:r>
      <w:r>
        <w:rPr>
          <w:color w:val="FF0000"/>
        </w:rPr>
        <w:t>of</w:t>
      </w:r>
      <w:r>
        <w:rPr>
          <w:color w:val="FF0000"/>
          <w:spacing w:val="-1"/>
        </w:rPr>
        <w:t> </w:t>
      </w:r>
      <w:r>
        <w:rPr>
          <w:color w:val="FF0000"/>
          <w:spacing w:val="-4"/>
        </w:rPr>
        <w:t>Loss</w:t>
      </w:r>
    </w:p>
    <w:p>
      <w:pPr>
        <w:pStyle w:val="BodyText"/>
        <w:spacing w:before="57"/>
        <w:rPr>
          <w:rFonts w:ascii="Arial"/>
          <w:b/>
          <w:sz w:val="19"/>
        </w:rPr>
      </w:pPr>
    </w:p>
    <w:p>
      <w:pPr>
        <w:pStyle w:val="ListParagraph"/>
        <w:numPr>
          <w:ilvl w:val="0"/>
          <w:numId w:val="1"/>
        </w:numPr>
        <w:tabs>
          <w:tab w:pos="1079" w:val="left" w:leader="none"/>
          <w:tab w:pos="2372" w:val="left" w:leader="none"/>
          <w:tab w:pos="6804" w:val="left" w:leader="none"/>
          <w:tab w:pos="7938" w:val="left" w:leader="none"/>
          <w:tab w:pos="9200" w:val="left" w:leader="none"/>
        </w:tabs>
        <w:spacing w:line="249" w:lineRule="auto" w:before="0" w:after="0"/>
        <w:ind w:left="1079" w:right="65" w:hanging="360"/>
        <w:jc w:val="left"/>
        <w:rPr>
          <w:sz w:val="15"/>
        </w:rPr>
      </w:pPr>
      <w:r>
        <w:rPr>
          <w:color w:val="333333"/>
          <w:sz w:val="15"/>
        </w:rPr>
        <w:t>During the year, the net revenue from operations of your Company decreased by </w:t>
      </w:r>
      <w:r>
        <w:rPr>
          <w:rFonts w:ascii="Times New Roman" w:hAnsi="Times New Roman"/>
          <w:color w:val="333333"/>
          <w:sz w:val="15"/>
          <w:u w:val="single" w:color="323232"/>
        </w:rPr>
        <w:tab/>
      </w:r>
      <w:r>
        <w:rPr>
          <w:color w:val="333333"/>
          <w:sz w:val="15"/>
        </w:rPr>
        <w:t>%, from Rs </w:t>
      </w:r>
      <w:r>
        <w:rPr>
          <w:rFonts w:ascii="Times New Roman" w:hAnsi="Times New Roman"/>
          <w:color w:val="333333"/>
          <w:sz w:val="15"/>
          <w:u w:val="single" w:color="323232"/>
        </w:rPr>
        <w:tab/>
      </w:r>
      <w:r>
        <w:rPr>
          <w:color w:val="333333"/>
          <w:sz w:val="15"/>
        </w:rPr>
        <w:t>Crores to Rs. </w:t>
      </w:r>
      <w:r>
        <w:rPr>
          <w:rFonts w:ascii="Times New Roman" w:hAnsi="Times New Roman"/>
          <w:color w:val="333333"/>
          <w:sz w:val="15"/>
          <w:u w:val="single" w:color="323232"/>
        </w:rPr>
        <w:tab/>
      </w:r>
      <w:r>
        <w:rPr>
          <w:color w:val="333333"/>
          <w:spacing w:val="-2"/>
          <w:sz w:val="15"/>
        </w:rPr>
        <w:t>Crores </w:t>
      </w:r>
      <w:r>
        <w:rPr>
          <w:color w:val="333333"/>
          <w:sz w:val="15"/>
        </w:rPr>
        <w:t>due to </w:t>
      </w:r>
      <w:r>
        <w:rPr>
          <w:rFonts w:ascii="Times New Roman" w:hAnsi="Times New Roman"/>
          <w:color w:val="333333"/>
          <w:sz w:val="15"/>
          <w:u w:val="single" w:color="323232"/>
        </w:rPr>
        <w:tab/>
      </w:r>
      <w:r>
        <w:rPr>
          <w:color w:val="333333"/>
          <w:spacing w:val="-10"/>
          <w:sz w:val="15"/>
        </w:rPr>
        <w:t>.</w:t>
      </w:r>
    </w:p>
    <w:p>
      <w:pPr>
        <w:pStyle w:val="ListParagraph"/>
        <w:numPr>
          <w:ilvl w:val="0"/>
          <w:numId w:val="1"/>
        </w:numPr>
        <w:tabs>
          <w:tab w:pos="1079" w:val="left" w:leader="none"/>
          <w:tab w:pos="4123" w:val="left" w:leader="none"/>
        </w:tabs>
        <w:spacing w:line="240" w:lineRule="auto" w:before="1" w:after="0"/>
        <w:ind w:left="1079" w:right="0" w:hanging="360"/>
        <w:jc w:val="left"/>
        <w:rPr>
          <w:sz w:val="15"/>
        </w:rPr>
      </w:pPr>
      <w:r>
        <w:rPr>
          <w:color w:val="333333"/>
          <w:sz w:val="15"/>
        </w:rPr>
        <w:t>The</w:t>
      </w:r>
      <w:r>
        <w:rPr>
          <w:color w:val="333333"/>
          <w:spacing w:val="5"/>
          <w:sz w:val="15"/>
        </w:rPr>
        <w:t> </w:t>
      </w:r>
      <w:r>
        <w:rPr>
          <w:color w:val="333333"/>
          <w:sz w:val="15"/>
        </w:rPr>
        <w:t>Company’s</w:t>
      </w:r>
      <w:r>
        <w:rPr>
          <w:color w:val="333333"/>
          <w:spacing w:val="6"/>
          <w:sz w:val="15"/>
        </w:rPr>
        <w:t> </w:t>
      </w:r>
      <w:r>
        <w:rPr>
          <w:color w:val="333333"/>
          <w:sz w:val="15"/>
        </w:rPr>
        <w:t>recorded</w:t>
      </w:r>
      <w:r>
        <w:rPr>
          <w:color w:val="333333"/>
          <w:spacing w:val="6"/>
          <w:sz w:val="15"/>
        </w:rPr>
        <w:t> </w:t>
      </w:r>
      <w:r>
        <w:rPr>
          <w:color w:val="333333"/>
          <w:sz w:val="15"/>
        </w:rPr>
        <w:t>a</w:t>
      </w:r>
      <w:r>
        <w:rPr>
          <w:color w:val="333333"/>
          <w:spacing w:val="5"/>
          <w:sz w:val="15"/>
        </w:rPr>
        <w:t> </w:t>
      </w:r>
      <w:r>
        <w:rPr>
          <w:color w:val="333333"/>
          <w:sz w:val="15"/>
        </w:rPr>
        <w:t>loss</w:t>
      </w:r>
      <w:r>
        <w:rPr>
          <w:color w:val="333333"/>
          <w:spacing w:val="6"/>
          <w:sz w:val="15"/>
        </w:rPr>
        <w:t> </w:t>
      </w:r>
      <w:r>
        <w:rPr>
          <w:color w:val="333333"/>
          <w:sz w:val="15"/>
        </w:rPr>
        <w:t>of</w:t>
      </w:r>
      <w:r>
        <w:rPr>
          <w:color w:val="333333"/>
          <w:spacing w:val="6"/>
          <w:sz w:val="15"/>
        </w:rPr>
        <w:t> </w:t>
      </w:r>
      <w:r>
        <w:rPr>
          <w:color w:val="333333"/>
          <w:spacing w:val="-5"/>
          <w:sz w:val="15"/>
        </w:rPr>
        <w:t>Rs.</w:t>
      </w:r>
      <w:r>
        <w:rPr>
          <w:rFonts w:ascii="Times New Roman" w:hAnsi="Times New Roman"/>
          <w:color w:val="333333"/>
          <w:sz w:val="15"/>
          <w:u w:val="single" w:color="323232"/>
        </w:rPr>
        <w:tab/>
      </w:r>
      <w:r>
        <w:rPr>
          <w:color w:val="333333"/>
          <w:sz w:val="15"/>
        </w:rPr>
        <w:t>in</w:t>
      </w:r>
      <w:r>
        <w:rPr>
          <w:color w:val="333333"/>
          <w:spacing w:val="-2"/>
          <w:sz w:val="15"/>
        </w:rPr>
        <w:t> </w:t>
      </w:r>
      <w:r>
        <w:rPr>
          <w:color w:val="333333"/>
          <w:sz w:val="15"/>
        </w:rPr>
        <w:t>the</w:t>
      </w:r>
      <w:r>
        <w:rPr>
          <w:color w:val="333333"/>
          <w:spacing w:val="-2"/>
          <w:sz w:val="15"/>
        </w:rPr>
        <w:t> </w:t>
      </w:r>
      <w:r>
        <w:rPr>
          <w:color w:val="333333"/>
          <w:sz w:val="15"/>
        </w:rPr>
        <w:t>financial</w:t>
      </w:r>
      <w:r>
        <w:rPr>
          <w:color w:val="333333"/>
          <w:spacing w:val="-1"/>
          <w:sz w:val="15"/>
        </w:rPr>
        <w:t> </w:t>
      </w:r>
      <w:r>
        <w:rPr>
          <w:color w:val="333333"/>
          <w:sz w:val="15"/>
        </w:rPr>
        <w:t>year</w:t>
      </w:r>
      <w:r>
        <w:rPr>
          <w:color w:val="333333"/>
          <w:spacing w:val="-2"/>
          <w:sz w:val="15"/>
        </w:rPr>
        <w:t> </w:t>
      </w:r>
      <w:r>
        <w:rPr>
          <w:color w:val="333333"/>
          <w:sz w:val="15"/>
        </w:rPr>
        <w:t>ended</w:t>
      </w:r>
      <w:r>
        <w:rPr>
          <w:color w:val="333333"/>
          <w:spacing w:val="-1"/>
          <w:sz w:val="15"/>
        </w:rPr>
        <w:t> </w:t>
      </w:r>
      <w:r>
        <w:rPr>
          <w:color w:val="333333"/>
          <w:sz w:val="15"/>
        </w:rPr>
        <w:t>31st</w:t>
      </w:r>
      <w:r>
        <w:rPr>
          <w:color w:val="333333"/>
          <w:spacing w:val="-2"/>
          <w:sz w:val="15"/>
        </w:rPr>
        <w:t> </w:t>
      </w:r>
      <w:r>
        <w:rPr>
          <w:color w:val="333333"/>
          <w:sz w:val="15"/>
        </w:rPr>
        <w:t>March,</w:t>
      </w:r>
      <w:r>
        <w:rPr>
          <w:color w:val="333333"/>
          <w:spacing w:val="-1"/>
          <w:sz w:val="15"/>
        </w:rPr>
        <w:t> </w:t>
      </w:r>
      <w:r>
        <w:rPr>
          <w:color w:val="333333"/>
          <w:spacing w:val="-2"/>
          <w:sz w:val="15"/>
        </w:rPr>
        <w:t>20XX.</w:t>
      </w:r>
    </w:p>
    <w:p>
      <w:pPr>
        <w:pStyle w:val="BodyText"/>
        <w:spacing w:before="110"/>
      </w:pPr>
    </w:p>
    <w:p>
      <w:pPr>
        <w:pStyle w:val="Heading2"/>
        <w:spacing w:before="1"/>
      </w:pPr>
      <w:r>
        <w:rPr>
          <w:color w:val="FF0000"/>
        </w:rPr>
        <w:t>In</w:t>
      </w:r>
      <w:r>
        <w:rPr>
          <w:color w:val="FF0000"/>
          <w:spacing w:val="-1"/>
        </w:rPr>
        <w:t> </w:t>
      </w:r>
      <w:r>
        <w:rPr>
          <w:color w:val="FF0000"/>
        </w:rPr>
        <w:t>Case</w:t>
      </w:r>
      <w:r>
        <w:rPr>
          <w:color w:val="FF0000"/>
          <w:spacing w:val="-1"/>
        </w:rPr>
        <w:t> </w:t>
      </w:r>
      <w:r>
        <w:rPr>
          <w:color w:val="FF0000"/>
        </w:rPr>
        <w:t>of</w:t>
      </w:r>
      <w:r>
        <w:rPr>
          <w:color w:val="FF0000"/>
          <w:spacing w:val="-1"/>
        </w:rPr>
        <w:t> </w:t>
      </w:r>
      <w:r>
        <w:rPr>
          <w:color w:val="FF0000"/>
        </w:rPr>
        <w:t>No</w:t>
      </w:r>
      <w:r>
        <w:rPr>
          <w:color w:val="FF0000"/>
          <w:spacing w:val="-1"/>
        </w:rPr>
        <w:t> </w:t>
      </w:r>
      <w:r>
        <w:rPr>
          <w:color w:val="FF0000"/>
          <w:spacing w:val="-2"/>
        </w:rPr>
        <w:t>Activity</w:t>
      </w:r>
    </w:p>
    <w:p>
      <w:pPr>
        <w:pStyle w:val="Heading2"/>
        <w:spacing w:after="0"/>
        <w:sectPr>
          <w:type w:val="continuous"/>
          <w:pgSz w:w="12240" w:h="15840"/>
          <w:pgMar w:top="1820" w:bottom="280" w:left="1080" w:right="1440"/>
        </w:sectPr>
      </w:pPr>
    </w:p>
    <w:p>
      <w:pPr>
        <w:pStyle w:val="ListParagraph"/>
        <w:numPr>
          <w:ilvl w:val="0"/>
          <w:numId w:val="1"/>
        </w:numPr>
        <w:tabs>
          <w:tab w:pos="1079" w:val="left" w:leader="none"/>
        </w:tabs>
        <w:spacing w:line="240" w:lineRule="auto" w:before="76" w:after="0"/>
        <w:ind w:left="1079" w:right="0" w:hanging="360"/>
        <w:jc w:val="left"/>
        <w:rPr>
          <w:sz w:val="15"/>
        </w:rPr>
      </w:pPr>
      <w:r>
        <w:rPr>
          <w:color w:val="333333"/>
          <w:sz w:val="15"/>
        </w:rPr>
        <w:t>During the year, the</w:t>
      </w:r>
      <w:r>
        <w:rPr>
          <w:color w:val="333333"/>
          <w:spacing w:val="1"/>
          <w:sz w:val="15"/>
        </w:rPr>
        <w:t> </w:t>
      </w:r>
      <w:r>
        <w:rPr>
          <w:color w:val="333333"/>
          <w:sz w:val="15"/>
        </w:rPr>
        <w:t>company did not</w:t>
      </w:r>
      <w:r>
        <w:rPr>
          <w:color w:val="333333"/>
          <w:spacing w:val="1"/>
          <w:sz w:val="15"/>
        </w:rPr>
        <w:t> </w:t>
      </w:r>
      <w:r>
        <w:rPr>
          <w:color w:val="333333"/>
          <w:sz w:val="15"/>
        </w:rPr>
        <w:t>commence any operations.</w:t>
      </w:r>
      <w:r>
        <w:rPr>
          <w:color w:val="333333"/>
          <w:spacing w:val="1"/>
          <w:sz w:val="15"/>
        </w:rPr>
        <w:t> </w:t>
      </w:r>
      <w:r>
        <w:rPr>
          <w:color w:val="333333"/>
          <w:sz w:val="15"/>
        </w:rPr>
        <w:t>Hence, the company</w:t>
      </w:r>
      <w:r>
        <w:rPr>
          <w:color w:val="333333"/>
          <w:spacing w:val="1"/>
          <w:sz w:val="15"/>
        </w:rPr>
        <w:t> </w:t>
      </w:r>
      <w:r>
        <w:rPr>
          <w:color w:val="333333"/>
          <w:sz w:val="15"/>
        </w:rPr>
        <w:t>has not recorded</w:t>
      </w:r>
      <w:r>
        <w:rPr>
          <w:color w:val="333333"/>
          <w:spacing w:val="1"/>
          <w:sz w:val="15"/>
        </w:rPr>
        <w:t> </w:t>
      </w:r>
      <w:r>
        <w:rPr>
          <w:color w:val="333333"/>
          <w:sz w:val="15"/>
        </w:rPr>
        <w:t>any </w:t>
      </w:r>
      <w:r>
        <w:rPr>
          <w:color w:val="333333"/>
          <w:spacing w:val="-2"/>
          <w:sz w:val="15"/>
        </w:rPr>
        <w:t>revenue.</w:t>
      </w:r>
    </w:p>
    <w:p>
      <w:pPr>
        <w:pStyle w:val="ListParagraph"/>
        <w:numPr>
          <w:ilvl w:val="0"/>
          <w:numId w:val="1"/>
        </w:numPr>
        <w:tabs>
          <w:tab w:pos="1079" w:val="left" w:leader="none"/>
          <w:tab w:pos="4462" w:val="left" w:leader="none"/>
        </w:tabs>
        <w:spacing w:line="249" w:lineRule="auto" w:before="7" w:after="0"/>
        <w:ind w:left="1079" w:right="462" w:hanging="360"/>
        <w:jc w:val="left"/>
        <w:rPr>
          <w:sz w:val="15"/>
        </w:rPr>
      </w:pPr>
      <w:r>
        <w:rPr>
          <w:color w:val="333333"/>
          <w:sz w:val="15"/>
        </w:rPr>
        <w:t>The company has charged an amount of Rs.</w:t>
      </w:r>
      <w:r>
        <w:rPr>
          <w:rFonts w:ascii="Times New Roman" w:hAnsi="Times New Roman"/>
          <w:color w:val="333333"/>
          <w:sz w:val="15"/>
          <w:u w:val="single" w:color="323232"/>
        </w:rPr>
        <w:tab/>
      </w:r>
      <w:r>
        <w:rPr>
          <w:color w:val="333333"/>
          <w:sz w:val="15"/>
        </w:rPr>
        <w:t>to the profit &amp; loss account as expenses which was for setting up of the </w:t>
      </w:r>
      <w:r>
        <w:rPr>
          <w:color w:val="333333"/>
          <w:spacing w:val="-2"/>
          <w:w w:val="105"/>
          <w:sz w:val="15"/>
        </w:rPr>
        <w:t>business.</w:t>
      </w:r>
    </w:p>
    <w:p>
      <w:pPr>
        <w:pStyle w:val="BodyText"/>
        <w:spacing w:before="104"/>
      </w:pPr>
    </w:p>
    <w:p>
      <w:pPr>
        <w:pStyle w:val="Heading1"/>
      </w:pPr>
      <w:r>
        <w:rPr>
          <w:color w:val="111111"/>
        </w:rPr>
        <w:t>State</w:t>
      </w:r>
      <w:r>
        <w:rPr>
          <w:color w:val="111111"/>
          <w:spacing w:val="-1"/>
        </w:rPr>
        <w:t> </w:t>
      </w:r>
      <w:r>
        <w:rPr>
          <w:color w:val="111111"/>
        </w:rPr>
        <w:t>of</w:t>
      </w:r>
      <w:r>
        <w:rPr>
          <w:color w:val="111111"/>
          <w:spacing w:val="-1"/>
        </w:rPr>
        <w:t> </w:t>
      </w:r>
      <w:r>
        <w:rPr>
          <w:color w:val="111111"/>
          <w:spacing w:val="-2"/>
        </w:rPr>
        <w:t>Affairs</w:t>
      </w:r>
    </w:p>
    <w:p>
      <w:pPr>
        <w:pStyle w:val="BodyText"/>
        <w:ind w:left="359"/>
      </w:pPr>
      <w:r>
        <w:rPr>
          <w:color w:val="696F6F"/>
        </w:rPr>
        <w:t>The</w:t>
      </w:r>
      <w:r>
        <w:rPr>
          <w:color w:val="696F6F"/>
          <w:spacing w:val="5"/>
        </w:rPr>
        <w:t> </w:t>
      </w:r>
      <w:r>
        <w:rPr>
          <w:color w:val="696F6F"/>
        </w:rPr>
        <w:t>Company</w:t>
      </w:r>
      <w:r>
        <w:rPr>
          <w:color w:val="696F6F"/>
          <w:spacing w:val="5"/>
        </w:rPr>
        <w:t> </w:t>
      </w:r>
      <w:r>
        <w:rPr>
          <w:color w:val="696F6F"/>
        </w:rPr>
        <w:t>is</w:t>
      </w:r>
      <w:r>
        <w:rPr>
          <w:color w:val="696F6F"/>
          <w:spacing w:val="5"/>
        </w:rPr>
        <w:t> </w:t>
      </w:r>
      <w:r>
        <w:rPr>
          <w:color w:val="696F6F"/>
        </w:rPr>
        <w:t>engaged</w:t>
      </w:r>
      <w:r>
        <w:rPr>
          <w:color w:val="696F6F"/>
          <w:spacing w:val="5"/>
        </w:rPr>
        <w:t> </w:t>
      </w:r>
      <w:r>
        <w:rPr>
          <w:color w:val="696F6F"/>
        </w:rPr>
        <w:t>in</w:t>
      </w:r>
      <w:r>
        <w:rPr>
          <w:color w:val="696F6F"/>
          <w:spacing w:val="5"/>
        </w:rPr>
        <w:t> </w:t>
      </w:r>
      <w:r>
        <w:rPr>
          <w:color w:val="696F6F"/>
        </w:rPr>
        <w:t>the</w:t>
      </w:r>
      <w:r>
        <w:rPr>
          <w:color w:val="696F6F"/>
          <w:spacing w:val="5"/>
        </w:rPr>
        <w:t> </w:t>
      </w:r>
      <w:r>
        <w:rPr>
          <w:color w:val="696F6F"/>
        </w:rPr>
        <w:t>business</w:t>
      </w:r>
      <w:r>
        <w:rPr>
          <w:color w:val="696F6F"/>
          <w:spacing w:val="5"/>
        </w:rPr>
        <w:t> </w:t>
      </w:r>
      <w:r>
        <w:rPr>
          <w:color w:val="696F6F"/>
          <w:spacing w:val="-5"/>
        </w:rPr>
        <w:t>of:</w:t>
      </w:r>
    </w:p>
    <w:p>
      <w:pPr>
        <w:pStyle w:val="BodyText"/>
        <w:spacing w:before="142"/>
      </w:pPr>
    </w:p>
    <w:p>
      <w:pPr>
        <w:pStyle w:val="ListParagraph"/>
        <w:numPr>
          <w:ilvl w:val="0"/>
          <w:numId w:val="1"/>
        </w:numPr>
        <w:tabs>
          <w:tab w:pos="1079" w:val="left" w:leader="none"/>
        </w:tabs>
        <w:spacing w:line="240" w:lineRule="auto" w:before="0" w:after="0"/>
        <w:ind w:left="1079" w:right="0" w:hanging="360"/>
        <w:jc w:val="left"/>
        <w:rPr>
          <w:sz w:val="15"/>
        </w:rPr>
      </w:pPr>
      <w:r>
        <w:rPr>
          <w:color w:val="333333"/>
          <w:sz w:val="15"/>
        </w:rPr>
        <w:t>Business</w:t>
      </w:r>
      <w:r>
        <w:rPr>
          <w:color w:val="333333"/>
          <w:spacing w:val="15"/>
          <w:sz w:val="15"/>
        </w:rPr>
        <w:t> </w:t>
      </w:r>
      <w:r>
        <w:rPr>
          <w:color w:val="333333"/>
          <w:sz w:val="15"/>
        </w:rPr>
        <w:t>Activity</w:t>
      </w:r>
      <w:r>
        <w:rPr>
          <w:color w:val="333333"/>
          <w:spacing w:val="16"/>
          <w:sz w:val="15"/>
        </w:rPr>
        <w:t> </w:t>
      </w:r>
      <w:r>
        <w:rPr>
          <w:color w:val="333333"/>
          <w:spacing w:val="-10"/>
          <w:sz w:val="15"/>
        </w:rPr>
        <w:t>1</w:t>
      </w:r>
    </w:p>
    <w:p>
      <w:pPr>
        <w:pStyle w:val="ListParagraph"/>
        <w:numPr>
          <w:ilvl w:val="0"/>
          <w:numId w:val="1"/>
        </w:numPr>
        <w:tabs>
          <w:tab w:pos="1079" w:val="left" w:leader="none"/>
        </w:tabs>
        <w:spacing w:line="240" w:lineRule="auto" w:before="7" w:after="0"/>
        <w:ind w:left="1079" w:right="0" w:hanging="360"/>
        <w:jc w:val="left"/>
        <w:rPr>
          <w:sz w:val="15"/>
        </w:rPr>
      </w:pPr>
      <w:r>
        <w:rPr>
          <w:color w:val="333333"/>
          <w:sz w:val="15"/>
        </w:rPr>
        <w:t>Business</w:t>
      </w:r>
      <w:r>
        <w:rPr>
          <w:color w:val="333333"/>
          <w:spacing w:val="15"/>
          <w:sz w:val="15"/>
        </w:rPr>
        <w:t> </w:t>
      </w:r>
      <w:r>
        <w:rPr>
          <w:color w:val="333333"/>
          <w:sz w:val="15"/>
        </w:rPr>
        <w:t>Activity</w:t>
      </w:r>
      <w:r>
        <w:rPr>
          <w:color w:val="333333"/>
          <w:spacing w:val="16"/>
          <w:sz w:val="15"/>
        </w:rPr>
        <w:t> </w:t>
      </w:r>
      <w:r>
        <w:rPr>
          <w:color w:val="333333"/>
          <w:spacing w:val="-10"/>
          <w:sz w:val="15"/>
        </w:rPr>
        <w:t>2</w:t>
      </w:r>
    </w:p>
    <w:p>
      <w:pPr>
        <w:pStyle w:val="BodyText"/>
        <w:spacing w:before="107"/>
      </w:pPr>
    </w:p>
    <w:p>
      <w:pPr>
        <w:pStyle w:val="BodyText"/>
        <w:spacing w:before="0"/>
        <w:ind w:left="359"/>
      </w:pPr>
      <w:r>
        <w:rPr>
          <w:color w:val="696F6F"/>
        </w:rPr>
        <w:t>There has been no</w:t>
      </w:r>
      <w:r>
        <w:rPr>
          <w:color w:val="696F6F"/>
          <w:spacing w:val="1"/>
        </w:rPr>
        <w:t> </w:t>
      </w:r>
      <w:r>
        <w:rPr>
          <w:color w:val="696F6F"/>
        </w:rPr>
        <w:t>change in the</w:t>
      </w:r>
      <w:r>
        <w:rPr>
          <w:color w:val="696F6F"/>
          <w:spacing w:val="1"/>
        </w:rPr>
        <w:t> </w:t>
      </w:r>
      <w:r>
        <w:rPr>
          <w:color w:val="696F6F"/>
        </w:rPr>
        <w:t>business of the Company</w:t>
      </w:r>
      <w:r>
        <w:rPr>
          <w:color w:val="696F6F"/>
          <w:spacing w:val="1"/>
        </w:rPr>
        <w:t> </w:t>
      </w:r>
      <w:r>
        <w:rPr>
          <w:color w:val="696F6F"/>
        </w:rPr>
        <w:t>during the financial</w:t>
      </w:r>
      <w:r>
        <w:rPr>
          <w:color w:val="696F6F"/>
          <w:spacing w:val="1"/>
        </w:rPr>
        <w:t> </w:t>
      </w:r>
      <w:r>
        <w:rPr>
          <w:color w:val="696F6F"/>
        </w:rPr>
        <w:t>year ended 31st March,</w:t>
      </w:r>
      <w:r>
        <w:rPr>
          <w:color w:val="696F6F"/>
          <w:spacing w:val="1"/>
        </w:rPr>
        <w:t> </w:t>
      </w:r>
      <w:r>
        <w:rPr>
          <w:color w:val="696F6F"/>
          <w:spacing w:val="-2"/>
        </w:rPr>
        <w:t>20XX.</w:t>
      </w:r>
    </w:p>
    <w:p>
      <w:pPr>
        <w:pStyle w:val="BodyText"/>
        <w:spacing w:before="146"/>
      </w:pPr>
    </w:p>
    <w:p>
      <w:pPr>
        <w:pStyle w:val="Heading1"/>
      </w:pPr>
      <w:r>
        <w:rPr>
          <w:color w:val="111111"/>
          <w:spacing w:val="-2"/>
        </w:rPr>
        <w:t>Dividends</w:t>
      </w:r>
    </w:p>
    <w:p>
      <w:pPr>
        <w:pStyle w:val="Heading2"/>
        <w:spacing w:before="105"/>
      </w:pPr>
      <w:r>
        <w:rPr>
          <w:color w:val="FF0000"/>
        </w:rPr>
        <w:t>In</w:t>
      </w:r>
      <w:r>
        <w:rPr>
          <w:color w:val="FF0000"/>
          <w:spacing w:val="-1"/>
        </w:rPr>
        <w:t> </w:t>
      </w:r>
      <w:r>
        <w:rPr>
          <w:color w:val="FF0000"/>
        </w:rPr>
        <w:t>case</w:t>
      </w:r>
      <w:r>
        <w:rPr>
          <w:color w:val="FF0000"/>
          <w:spacing w:val="-1"/>
        </w:rPr>
        <w:t> </w:t>
      </w:r>
      <w:r>
        <w:rPr>
          <w:color w:val="FF0000"/>
        </w:rPr>
        <w:t>Dividends</w:t>
      </w:r>
      <w:r>
        <w:rPr>
          <w:color w:val="FF0000"/>
          <w:spacing w:val="-1"/>
        </w:rPr>
        <w:t> </w:t>
      </w:r>
      <w:r>
        <w:rPr>
          <w:color w:val="FF0000"/>
        </w:rPr>
        <w:t>were</w:t>
      </w:r>
      <w:r>
        <w:rPr>
          <w:color w:val="FF0000"/>
          <w:spacing w:val="-1"/>
        </w:rPr>
        <w:t> </w:t>
      </w:r>
      <w:r>
        <w:rPr>
          <w:color w:val="FF0000"/>
          <w:spacing w:val="-2"/>
        </w:rPr>
        <w:t>Declared</w:t>
      </w:r>
    </w:p>
    <w:p>
      <w:pPr>
        <w:pStyle w:val="BodyText"/>
        <w:spacing w:line="249" w:lineRule="auto"/>
        <w:ind w:left="359" w:right="117"/>
      </w:pPr>
      <w:r>
        <w:rPr>
          <w:color w:val="696F6F"/>
        </w:rPr>
        <w:t>Your Directors are pleased to recommend a dividend of Rs.XXX per share for the current financial year. The dividend if approved and declared in the forthcoming Annual General Meeting would result a Dividend outflow of Rs.</w:t>
      </w:r>
      <w:r>
        <w:rPr>
          <w:color w:val="696F6F"/>
          <w:spacing w:val="40"/>
        </w:rPr>
        <w:t> </w:t>
      </w:r>
      <w:r>
        <w:rPr>
          <w:color w:val="696F6F"/>
        </w:rPr>
        <w:t>XX and dividend Distribution Tax of Rs. XX aggregating a total outflow of Rs. XXXX..</w:t>
      </w:r>
    </w:p>
    <w:p>
      <w:pPr>
        <w:pStyle w:val="BodyText"/>
        <w:spacing w:before="140"/>
      </w:pPr>
    </w:p>
    <w:p>
      <w:pPr>
        <w:pStyle w:val="Heading2"/>
      </w:pPr>
      <w:r>
        <w:rPr>
          <w:color w:val="FF0000"/>
        </w:rPr>
        <w:t>In</w:t>
      </w:r>
      <w:r>
        <w:rPr>
          <w:color w:val="FF0000"/>
          <w:spacing w:val="-3"/>
        </w:rPr>
        <w:t> </w:t>
      </w:r>
      <w:r>
        <w:rPr>
          <w:color w:val="FF0000"/>
        </w:rPr>
        <w:t>case</w:t>
      </w:r>
      <w:r>
        <w:rPr>
          <w:color w:val="FF0000"/>
          <w:spacing w:val="-1"/>
        </w:rPr>
        <w:t> </w:t>
      </w:r>
      <w:r>
        <w:rPr>
          <w:color w:val="FF0000"/>
        </w:rPr>
        <w:t>Dividends</w:t>
      </w:r>
      <w:r>
        <w:rPr>
          <w:color w:val="FF0000"/>
          <w:spacing w:val="-1"/>
        </w:rPr>
        <w:t> </w:t>
      </w:r>
      <w:r>
        <w:rPr>
          <w:color w:val="FF0000"/>
        </w:rPr>
        <w:t>were</w:t>
      </w:r>
      <w:r>
        <w:rPr>
          <w:color w:val="FF0000"/>
          <w:spacing w:val="-1"/>
        </w:rPr>
        <w:t> </w:t>
      </w:r>
      <w:r>
        <w:rPr>
          <w:color w:val="FF0000"/>
        </w:rPr>
        <w:t>Not</w:t>
      </w:r>
      <w:r>
        <w:rPr>
          <w:color w:val="FF0000"/>
          <w:spacing w:val="-1"/>
        </w:rPr>
        <w:t> </w:t>
      </w:r>
      <w:r>
        <w:rPr>
          <w:color w:val="FF0000"/>
          <w:spacing w:val="-2"/>
        </w:rPr>
        <w:t>Declared</w:t>
      </w:r>
    </w:p>
    <w:p>
      <w:pPr>
        <w:pStyle w:val="BodyText"/>
        <w:spacing w:before="57"/>
        <w:rPr>
          <w:rFonts w:ascii="Arial"/>
          <w:b/>
          <w:sz w:val="19"/>
        </w:rPr>
      </w:pPr>
    </w:p>
    <w:p>
      <w:pPr>
        <w:pStyle w:val="ListParagraph"/>
        <w:numPr>
          <w:ilvl w:val="0"/>
          <w:numId w:val="1"/>
        </w:numPr>
        <w:tabs>
          <w:tab w:pos="1079" w:val="left" w:leader="none"/>
        </w:tabs>
        <w:spacing w:line="240" w:lineRule="auto" w:before="0" w:after="0"/>
        <w:ind w:left="1079" w:right="0" w:hanging="360"/>
        <w:jc w:val="left"/>
        <w:rPr>
          <w:sz w:val="15"/>
        </w:rPr>
      </w:pPr>
      <w:r>
        <w:rPr>
          <w:color w:val="333333"/>
          <w:sz w:val="15"/>
        </w:rPr>
        <w:t>No</w:t>
      </w:r>
      <w:r>
        <w:rPr>
          <w:color w:val="333333"/>
          <w:spacing w:val="-2"/>
          <w:sz w:val="15"/>
        </w:rPr>
        <w:t> </w:t>
      </w:r>
      <w:r>
        <w:rPr>
          <w:color w:val="333333"/>
          <w:sz w:val="15"/>
        </w:rPr>
        <w:t>dividend</w:t>
      </w:r>
      <w:r>
        <w:rPr>
          <w:color w:val="333333"/>
          <w:spacing w:val="-1"/>
          <w:sz w:val="15"/>
        </w:rPr>
        <w:t> </w:t>
      </w:r>
      <w:r>
        <w:rPr>
          <w:color w:val="333333"/>
          <w:sz w:val="15"/>
        </w:rPr>
        <w:t>was</w:t>
      </w:r>
      <w:r>
        <w:rPr>
          <w:color w:val="333333"/>
          <w:spacing w:val="-1"/>
          <w:sz w:val="15"/>
        </w:rPr>
        <w:t> </w:t>
      </w:r>
      <w:r>
        <w:rPr>
          <w:color w:val="333333"/>
          <w:sz w:val="15"/>
        </w:rPr>
        <w:t>declared</w:t>
      </w:r>
      <w:r>
        <w:rPr>
          <w:color w:val="333333"/>
          <w:spacing w:val="-1"/>
          <w:sz w:val="15"/>
        </w:rPr>
        <w:t> </w:t>
      </w:r>
      <w:r>
        <w:rPr>
          <w:color w:val="333333"/>
          <w:sz w:val="15"/>
        </w:rPr>
        <w:t>for</w:t>
      </w:r>
      <w:r>
        <w:rPr>
          <w:color w:val="333333"/>
          <w:spacing w:val="-1"/>
          <w:sz w:val="15"/>
        </w:rPr>
        <w:t> </w:t>
      </w:r>
      <w:r>
        <w:rPr>
          <w:color w:val="333333"/>
          <w:sz w:val="15"/>
        </w:rPr>
        <w:t>the</w:t>
      </w:r>
      <w:r>
        <w:rPr>
          <w:color w:val="333333"/>
          <w:spacing w:val="-1"/>
          <w:sz w:val="15"/>
        </w:rPr>
        <w:t> </w:t>
      </w:r>
      <w:r>
        <w:rPr>
          <w:color w:val="333333"/>
          <w:sz w:val="15"/>
        </w:rPr>
        <w:t>current</w:t>
      </w:r>
      <w:r>
        <w:rPr>
          <w:color w:val="333333"/>
          <w:spacing w:val="-1"/>
          <w:sz w:val="15"/>
        </w:rPr>
        <w:t> </w:t>
      </w:r>
      <w:r>
        <w:rPr>
          <w:color w:val="333333"/>
          <w:sz w:val="15"/>
        </w:rPr>
        <w:t>financial</w:t>
      </w:r>
      <w:r>
        <w:rPr>
          <w:color w:val="333333"/>
          <w:spacing w:val="-2"/>
          <w:sz w:val="15"/>
        </w:rPr>
        <w:t> </w:t>
      </w:r>
      <w:r>
        <w:rPr>
          <w:color w:val="333333"/>
          <w:sz w:val="15"/>
        </w:rPr>
        <w:t>year</w:t>
      </w:r>
      <w:r>
        <w:rPr>
          <w:color w:val="333333"/>
          <w:spacing w:val="-1"/>
          <w:sz w:val="15"/>
        </w:rPr>
        <w:t> </w:t>
      </w:r>
      <w:r>
        <w:rPr>
          <w:color w:val="333333"/>
          <w:sz w:val="15"/>
        </w:rPr>
        <w:t>due</w:t>
      </w:r>
      <w:r>
        <w:rPr>
          <w:color w:val="333333"/>
          <w:spacing w:val="-1"/>
          <w:sz w:val="15"/>
        </w:rPr>
        <w:t> </w:t>
      </w:r>
      <w:r>
        <w:rPr>
          <w:color w:val="333333"/>
          <w:sz w:val="15"/>
        </w:rPr>
        <w:t>to</w:t>
      </w:r>
      <w:r>
        <w:rPr>
          <w:color w:val="333333"/>
          <w:spacing w:val="-1"/>
          <w:sz w:val="15"/>
        </w:rPr>
        <w:t> </w:t>
      </w:r>
      <w:r>
        <w:rPr>
          <w:color w:val="333333"/>
          <w:sz w:val="15"/>
        </w:rPr>
        <w:t>conservation</w:t>
      </w:r>
      <w:r>
        <w:rPr>
          <w:color w:val="333333"/>
          <w:spacing w:val="-1"/>
          <w:sz w:val="15"/>
        </w:rPr>
        <w:t> </w:t>
      </w:r>
      <w:r>
        <w:rPr>
          <w:color w:val="333333"/>
          <w:sz w:val="15"/>
        </w:rPr>
        <w:t>of</w:t>
      </w:r>
      <w:r>
        <w:rPr>
          <w:color w:val="333333"/>
          <w:spacing w:val="-1"/>
          <w:sz w:val="15"/>
        </w:rPr>
        <w:t> </w:t>
      </w:r>
      <w:r>
        <w:rPr>
          <w:color w:val="333333"/>
          <w:sz w:val="15"/>
        </w:rPr>
        <w:t>profits</w:t>
      </w:r>
      <w:r>
        <w:rPr>
          <w:color w:val="333333"/>
          <w:spacing w:val="-1"/>
          <w:sz w:val="15"/>
        </w:rPr>
        <w:t> </w:t>
      </w:r>
      <w:r>
        <w:rPr>
          <w:color w:val="333333"/>
          <w:sz w:val="15"/>
        </w:rPr>
        <w:t>and</w:t>
      </w:r>
      <w:r>
        <w:rPr>
          <w:color w:val="333333"/>
          <w:spacing w:val="-1"/>
          <w:sz w:val="15"/>
        </w:rPr>
        <w:t> </w:t>
      </w:r>
      <w:r>
        <w:rPr>
          <w:color w:val="333333"/>
          <w:sz w:val="15"/>
        </w:rPr>
        <w:t>continued</w:t>
      </w:r>
      <w:r>
        <w:rPr>
          <w:color w:val="333333"/>
          <w:spacing w:val="-2"/>
          <w:sz w:val="15"/>
        </w:rPr>
        <w:t> </w:t>
      </w:r>
      <w:r>
        <w:rPr>
          <w:color w:val="333333"/>
          <w:sz w:val="15"/>
        </w:rPr>
        <w:t>investment</w:t>
      </w:r>
      <w:r>
        <w:rPr>
          <w:color w:val="333333"/>
          <w:spacing w:val="-1"/>
          <w:sz w:val="15"/>
        </w:rPr>
        <w:t> </w:t>
      </w:r>
      <w:r>
        <w:rPr>
          <w:color w:val="333333"/>
          <w:sz w:val="15"/>
        </w:rPr>
        <w:t>in</w:t>
      </w:r>
      <w:r>
        <w:rPr>
          <w:color w:val="333333"/>
          <w:spacing w:val="-1"/>
          <w:sz w:val="15"/>
        </w:rPr>
        <w:t> </w:t>
      </w:r>
      <w:r>
        <w:rPr>
          <w:color w:val="333333"/>
          <w:sz w:val="15"/>
        </w:rPr>
        <w:t>the</w:t>
      </w:r>
      <w:r>
        <w:rPr>
          <w:color w:val="333333"/>
          <w:spacing w:val="-1"/>
          <w:sz w:val="15"/>
        </w:rPr>
        <w:t> </w:t>
      </w:r>
      <w:r>
        <w:rPr>
          <w:color w:val="333333"/>
          <w:spacing w:val="-2"/>
          <w:sz w:val="15"/>
        </w:rPr>
        <w:t>business.</w:t>
      </w:r>
    </w:p>
    <w:p>
      <w:pPr>
        <w:pStyle w:val="ListParagraph"/>
        <w:numPr>
          <w:ilvl w:val="0"/>
          <w:numId w:val="1"/>
        </w:numPr>
        <w:tabs>
          <w:tab w:pos="1079" w:val="left" w:leader="none"/>
        </w:tabs>
        <w:spacing w:line="240" w:lineRule="auto" w:before="8" w:after="0"/>
        <w:ind w:left="1079" w:right="0" w:hanging="360"/>
        <w:jc w:val="left"/>
        <w:rPr>
          <w:sz w:val="15"/>
        </w:rPr>
      </w:pPr>
      <w:r>
        <w:rPr>
          <w:color w:val="333333"/>
          <w:sz w:val="15"/>
        </w:rPr>
        <w:t>No</w:t>
      </w:r>
      <w:r>
        <w:rPr>
          <w:color w:val="333333"/>
          <w:spacing w:val="-2"/>
          <w:sz w:val="15"/>
        </w:rPr>
        <w:t> </w:t>
      </w:r>
      <w:r>
        <w:rPr>
          <w:color w:val="333333"/>
          <w:sz w:val="15"/>
        </w:rPr>
        <w:t>dividend</w:t>
      </w:r>
      <w:r>
        <w:rPr>
          <w:color w:val="333333"/>
          <w:spacing w:val="-2"/>
          <w:sz w:val="15"/>
        </w:rPr>
        <w:t> </w:t>
      </w:r>
      <w:r>
        <w:rPr>
          <w:color w:val="333333"/>
          <w:sz w:val="15"/>
        </w:rPr>
        <w:t>were</w:t>
      </w:r>
      <w:r>
        <w:rPr>
          <w:color w:val="333333"/>
          <w:spacing w:val="-2"/>
          <w:sz w:val="15"/>
        </w:rPr>
        <w:t> </w:t>
      </w:r>
      <w:r>
        <w:rPr>
          <w:color w:val="333333"/>
          <w:sz w:val="15"/>
        </w:rPr>
        <w:t>declared</w:t>
      </w:r>
      <w:r>
        <w:rPr>
          <w:color w:val="333333"/>
          <w:spacing w:val="-1"/>
          <w:sz w:val="15"/>
        </w:rPr>
        <w:t> </w:t>
      </w:r>
      <w:r>
        <w:rPr>
          <w:color w:val="333333"/>
          <w:sz w:val="15"/>
        </w:rPr>
        <w:t>for</w:t>
      </w:r>
      <w:r>
        <w:rPr>
          <w:color w:val="333333"/>
          <w:spacing w:val="-2"/>
          <w:sz w:val="15"/>
        </w:rPr>
        <w:t> </w:t>
      </w:r>
      <w:r>
        <w:rPr>
          <w:color w:val="333333"/>
          <w:sz w:val="15"/>
        </w:rPr>
        <w:t>the</w:t>
      </w:r>
      <w:r>
        <w:rPr>
          <w:color w:val="333333"/>
          <w:spacing w:val="-2"/>
          <w:sz w:val="15"/>
        </w:rPr>
        <w:t> </w:t>
      </w:r>
      <w:r>
        <w:rPr>
          <w:color w:val="333333"/>
          <w:sz w:val="15"/>
        </w:rPr>
        <w:t>current</w:t>
      </w:r>
      <w:r>
        <w:rPr>
          <w:color w:val="333333"/>
          <w:spacing w:val="-2"/>
          <w:sz w:val="15"/>
        </w:rPr>
        <w:t> </w:t>
      </w:r>
      <w:r>
        <w:rPr>
          <w:color w:val="333333"/>
          <w:sz w:val="15"/>
        </w:rPr>
        <w:t>financial</w:t>
      </w:r>
      <w:r>
        <w:rPr>
          <w:color w:val="333333"/>
          <w:spacing w:val="-1"/>
          <w:sz w:val="15"/>
        </w:rPr>
        <w:t> </w:t>
      </w:r>
      <w:r>
        <w:rPr>
          <w:color w:val="333333"/>
          <w:sz w:val="15"/>
        </w:rPr>
        <w:t>year</w:t>
      </w:r>
      <w:r>
        <w:rPr>
          <w:color w:val="333333"/>
          <w:spacing w:val="-2"/>
          <w:sz w:val="15"/>
        </w:rPr>
        <w:t> </w:t>
      </w:r>
      <w:r>
        <w:rPr>
          <w:color w:val="333333"/>
          <w:sz w:val="15"/>
        </w:rPr>
        <w:t>due</w:t>
      </w:r>
      <w:r>
        <w:rPr>
          <w:color w:val="333333"/>
          <w:spacing w:val="-2"/>
          <w:sz w:val="15"/>
        </w:rPr>
        <w:t> </w:t>
      </w:r>
      <w:r>
        <w:rPr>
          <w:color w:val="333333"/>
          <w:sz w:val="15"/>
        </w:rPr>
        <w:t>to</w:t>
      </w:r>
      <w:r>
        <w:rPr>
          <w:color w:val="333333"/>
          <w:spacing w:val="-2"/>
          <w:sz w:val="15"/>
        </w:rPr>
        <w:t> </w:t>
      </w:r>
      <w:r>
        <w:rPr>
          <w:color w:val="333333"/>
          <w:sz w:val="15"/>
        </w:rPr>
        <w:t>loss</w:t>
      </w:r>
      <w:r>
        <w:rPr>
          <w:color w:val="333333"/>
          <w:spacing w:val="-1"/>
          <w:sz w:val="15"/>
        </w:rPr>
        <w:t> </w:t>
      </w:r>
      <w:r>
        <w:rPr>
          <w:color w:val="333333"/>
          <w:sz w:val="15"/>
        </w:rPr>
        <w:t>incurred</w:t>
      </w:r>
      <w:r>
        <w:rPr>
          <w:color w:val="333333"/>
          <w:spacing w:val="-2"/>
          <w:sz w:val="15"/>
        </w:rPr>
        <w:t> </w:t>
      </w:r>
      <w:r>
        <w:rPr>
          <w:color w:val="333333"/>
          <w:sz w:val="15"/>
        </w:rPr>
        <w:t>by</w:t>
      </w:r>
      <w:r>
        <w:rPr>
          <w:color w:val="333333"/>
          <w:spacing w:val="-2"/>
          <w:sz w:val="15"/>
        </w:rPr>
        <w:t> </w:t>
      </w:r>
      <w:r>
        <w:rPr>
          <w:color w:val="333333"/>
          <w:sz w:val="15"/>
        </w:rPr>
        <w:t>the</w:t>
      </w:r>
      <w:r>
        <w:rPr>
          <w:color w:val="333333"/>
          <w:spacing w:val="-1"/>
          <w:sz w:val="15"/>
        </w:rPr>
        <w:t> </w:t>
      </w:r>
      <w:r>
        <w:rPr>
          <w:color w:val="333333"/>
          <w:spacing w:val="-2"/>
          <w:sz w:val="15"/>
        </w:rPr>
        <w:t>company.</w:t>
      </w:r>
    </w:p>
    <w:p>
      <w:pPr>
        <w:pStyle w:val="BodyText"/>
        <w:spacing w:before="110"/>
      </w:pPr>
    </w:p>
    <w:p>
      <w:pPr>
        <w:pStyle w:val="Heading1"/>
      </w:pPr>
      <w:r>
        <w:rPr>
          <w:color w:val="111111"/>
        </w:rPr>
        <w:t>Internal</w:t>
      </w:r>
      <w:r>
        <w:rPr>
          <w:color w:val="111111"/>
          <w:spacing w:val="-1"/>
        </w:rPr>
        <w:t> </w:t>
      </w:r>
      <w:r>
        <w:rPr>
          <w:color w:val="111111"/>
        </w:rPr>
        <w:t>Financial</w:t>
      </w:r>
      <w:r>
        <w:rPr>
          <w:color w:val="111111"/>
          <w:spacing w:val="-1"/>
        </w:rPr>
        <w:t> </w:t>
      </w:r>
      <w:r>
        <w:rPr>
          <w:color w:val="111111"/>
          <w:spacing w:val="-2"/>
        </w:rPr>
        <w:t>Control</w:t>
      </w:r>
    </w:p>
    <w:p>
      <w:pPr>
        <w:pStyle w:val="BodyText"/>
        <w:spacing w:line="249" w:lineRule="auto"/>
        <w:ind w:left="359"/>
      </w:pPr>
      <w:r>
        <w:rPr>
          <w:color w:val="696F6F"/>
        </w:rPr>
        <w:t>The</w:t>
      </w:r>
      <w:r>
        <w:rPr>
          <w:color w:val="696F6F"/>
          <w:spacing w:val="-1"/>
        </w:rPr>
        <w:t> </w:t>
      </w:r>
      <w:r>
        <w:rPr>
          <w:color w:val="696F6F"/>
        </w:rPr>
        <w:t>Company</w:t>
      </w:r>
      <w:r>
        <w:rPr>
          <w:color w:val="696F6F"/>
          <w:spacing w:val="-1"/>
        </w:rPr>
        <w:t> </w:t>
      </w:r>
      <w:r>
        <w:rPr>
          <w:color w:val="696F6F"/>
        </w:rPr>
        <w:t>has</w:t>
      </w:r>
      <w:r>
        <w:rPr>
          <w:color w:val="696F6F"/>
          <w:spacing w:val="-1"/>
        </w:rPr>
        <w:t> </w:t>
      </w:r>
      <w:r>
        <w:rPr>
          <w:color w:val="696F6F"/>
        </w:rPr>
        <w:t>in</w:t>
      </w:r>
      <w:r>
        <w:rPr>
          <w:color w:val="696F6F"/>
          <w:spacing w:val="-1"/>
        </w:rPr>
        <w:t> </w:t>
      </w:r>
      <w:r>
        <w:rPr>
          <w:color w:val="696F6F"/>
        </w:rPr>
        <w:t>place</w:t>
      </w:r>
      <w:r>
        <w:rPr>
          <w:color w:val="696F6F"/>
          <w:spacing w:val="-1"/>
        </w:rPr>
        <w:t> </w:t>
      </w:r>
      <w:r>
        <w:rPr>
          <w:color w:val="696F6F"/>
        </w:rPr>
        <w:t>adequate</w:t>
      </w:r>
      <w:r>
        <w:rPr>
          <w:color w:val="696F6F"/>
          <w:spacing w:val="-1"/>
        </w:rPr>
        <w:t> </w:t>
      </w:r>
      <w:r>
        <w:rPr>
          <w:color w:val="696F6F"/>
        </w:rPr>
        <w:t>internal</w:t>
      </w:r>
      <w:r>
        <w:rPr>
          <w:color w:val="696F6F"/>
          <w:spacing w:val="-1"/>
        </w:rPr>
        <w:t> </w:t>
      </w:r>
      <w:r>
        <w:rPr>
          <w:color w:val="696F6F"/>
        </w:rPr>
        <w:t>financial</w:t>
      </w:r>
      <w:r>
        <w:rPr>
          <w:color w:val="696F6F"/>
          <w:spacing w:val="-1"/>
        </w:rPr>
        <w:t> </w:t>
      </w:r>
      <w:r>
        <w:rPr>
          <w:color w:val="696F6F"/>
        </w:rPr>
        <w:t>control</w:t>
      </w:r>
      <w:r>
        <w:rPr>
          <w:color w:val="696F6F"/>
          <w:spacing w:val="-1"/>
        </w:rPr>
        <w:t> </w:t>
      </w:r>
      <w:r>
        <w:rPr>
          <w:color w:val="696F6F"/>
        </w:rPr>
        <w:t>with</w:t>
      </w:r>
      <w:r>
        <w:rPr>
          <w:color w:val="696F6F"/>
          <w:spacing w:val="-1"/>
        </w:rPr>
        <w:t> </w:t>
      </w:r>
      <w:r>
        <w:rPr>
          <w:color w:val="696F6F"/>
        </w:rPr>
        <w:t>reference</w:t>
      </w:r>
      <w:r>
        <w:rPr>
          <w:color w:val="696F6F"/>
          <w:spacing w:val="-1"/>
        </w:rPr>
        <w:t> </w:t>
      </w:r>
      <w:r>
        <w:rPr>
          <w:color w:val="696F6F"/>
        </w:rPr>
        <w:t>to</w:t>
      </w:r>
      <w:r>
        <w:rPr>
          <w:color w:val="696F6F"/>
          <w:spacing w:val="-1"/>
        </w:rPr>
        <w:t> </w:t>
      </w:r>
      <w:r>
        <w:rPr>
          <w:color w:val="696F6F"/>
        </w:rPr>
        <w:t>financial</w:t>
      </w:r>
      <w:r>
        <w:rPr>
          <w:color w:val="696F6F"/>
          <w:spacing w:val="-1"/>
        </w:rPr>
        <w:t> </w:t>
      </w:r>
      <w:r>
        <w:rPr>
          <w:color w:val="696F6F"/>
        </w:rPr>
        <w:t>statements.</w:t>
      </w:r>
      <w:r>
        <w:rPr>
          <w:color w:val="696F6F"/>
          <w:spacing w:val="-1"/>
        </w:rPr>
        <w:t> </w:t>
      </w:r>
      <w:r>
        <w:rPr>
          <w:color w:val="696F6F"/>
        </w:rPr>
        <w:t>During</w:t>
      </w:r>
      <w:r>
        <w:rPr>
          <w:color w:val="696F6F"/>
          <w:spacing w:val="-1"/>
        </w:rPr>
        <w:t> </w:t>
      </w:r>
      <w:r>
        <w:rPr>
          <w:color w:val="696F6F"/>
        </w:rPr>
        <w:t>the</w:t>
      </w:r>
      <w:r>
        <w:rPr>
          <w:color w:val="696F6F"/>
          <w:spacing w:val="-1"/>
        </w:rPr>
        <w:t> </w:t>
      </w:r>
      <w:r>
        <w:rPr>
          <w:color w:val="696F6F"/>
        </w:rPr>
        <w:t>year,</w:t>
      </w:r>
      <w:r>
        <w:rPr>
          <w:color w:val="696F6F"/>
          <w:spacing w:val="-1"/>
        </w:rPr>
        <w:t> </w:t>
      </w:r>
      <w:r>
        <w:rPr>
          <w:color w:val="696F6F"/>
        </w:rPr>
        <w:t>such</w:t>
      </w:r>
      <w:r>
        <w:rPr>
          <w:color w:val="696F6F"/>
          <w:spacing w:val="-1"/>
        </w:rPr>
        <w:t> </w:t>
      </w:r>
      <w:r>
        <w:rPr>
          <w:color w:val="696F6F"/>
        </w:rPr>
        <w:t>controls</w:t>
      </w:r>
      <w:r>
        <w:rPr>
          <w:color w:val="696F6F"/>
          <w:spacing w:val="-1"/>
        </w:rPr>
        <w:t> </w:t>
      </w:r>
      <w:r>
        <w:rPr>
          <w:color w:val="696F6F"/>
        </w:rPr>
        <w:t>were tested and no reportable material weakness in the design or operation was noticed.</w:t>
      </w:r>
    </w:p>
    <w:p>
      <w:pPr>
        <w:pStyle w:val="BodyText"/>
        <w:spacing w:before="140"/>
      </w:pPr>
    </w:p>
    <w:p>
      <w:pPr>
        <w:pStyle w:val="Heading1"/>
      </w:pPr>
      <w:r>
        <w:rPr>
          <w:color w:val="111111"/>
        </w:rPr>
        <w:t>Directors</w:t>
      </w:r>
      <w:r>
        <w:rPr>
          <w:color w:val="111111"/>
          <w:spacing w:val="-1"/>
        </w:rPr>
        <w:t> </w:t>
      </w:r>
      <w:r>
        <w:rPr>
          <w:color w:val="111111"/>
        </w:rPr>
        <w:t>&amp;</w:t>
      </w:r>
      <w:r>
        <w:rPr>
          <w:color w:val="111111"/>
          <w:spacing w:val="-1"/>
        </w:rPr>
        <w:t> </w:t>
      </w:r>
      <w:r>
        <w:rPr>
          <w:color w:val="111111"/>
        </w:rPr>
        <w:t>Key</w:t>
      </w:r>
      <w:r>
        <w:rPr>
          <w:color w:val="111111"/>
          <w:spacing w:val="-1"/>
        </w:rPr>
        <w:t> </w:t>
      </w:r>
      <w:r>
        <w:rPr>
          <w:color w:val="111111"/>
        </w:rPr>
        <w:t>Managerial</w:t>
      </w:r>
      <w:r>
        <w:rPr>
          <w:color w:val="111111"/>
          <w:spacing w:val="-1"/>
        </w:rPr>
        <w:t> </w:t>
      </w:r>
      <w:r>
        <w:rPr>
          <w:color w:val="111111"/>
        </w:rPr>
        <w:t>Personnel</w:t>
      </w:r>
      <w:r>
        <w:rPr>
          <w:color w:val="111111"/>
          <w:spacing w:val="-1"/>
        </w:rPr>
        <w:t> </w:t>
      </w:r>
      <w:r>
        <w:rPr>
          <w:color w:val="111111"/>
          <w:spacing w:val="-2"/>
        </w:rPr>
        <w:t>(KMP)</w:t>
      </w:r>
    </w:p>
    <w:p>
      <w:pPr>
        <w:pStyle w:val="BodyText"/>
        <w:spacing w:line="249" w:lineRule="auto"/>
        <w:ind w:left="359" w:right="127"/>
      </w:pPr>
      <w:r>
        <w:rPr>
          <w:color w:val="696F6F"/>
        </w:rPr>
        <w:t>There</w:t>
      </w:r>
      <w:r>
        <w:rPr>
          <w:color w:val="696F6F"/>
          <w:spacing w:val="-3"/>
        </w:rPr>
        <w:t> </w:t>
      </w:r>
      <w:r>
        <w:rPr>
          <w:color w:val="696F6F"/>
        </w:rPr>
        <w:t>has</w:t>
      </w:r>
      <w:r>
        <w:rPr>
          <w:color w:val="696F6F"/>
          <w:spacing w:val="-3"/>
        </w:rPr>
        <w:t> </w:t>
      </w:r>
      <w:r>
        <w:rPr>
          <w:color w:val="696F6F"/>
        </w:rPr>
        <w:t>been</w:t>
      </w:r>
      <w:r>
        <w:rPr>
          <w:color w:val="696F6F"/>
          <w:spacing w:val="-3"/>
        </w:rPr>
        <w:t> </w:t>
      </w:r>
      <w:r>
        <w:rPr>
          <w:color w:val="696F6F"/>
        </w:rPr>
        <w:t>no</w:t>
      </w:r>
      <w:r>
        <w:rPr>
          <w:color w:val="696F6F"/>
          <w:spacing w:val="-3"/>
        </w:rPr>
        <w:t> </w:t>
      </w:r>
      <w:r>
        <w:rPr>
          <w:color w:val="696F6F"/>
        </w:rPr>
        <w:t>change</w:t>
      </w:r>
      <w:r>
        <w:rPr>
          <w:color w:val="696F6F"/>
          <w:spacing w:val="-3"/>
        </w:rPr>
        <w:t> </w:t>
      </w:r>
      <w:r>
        <w:rPr>
          <w:color w:val="696F6F"/>
        </w:rPr>
        <w:t>in</w:t>
      </w:r>
      <w:r>
        <w:rPr>
          <w:color w:val="696F6F"/>
          <w:spacing w:val="-3"/>
        </w:rPr>
        <w:t> </w:t>
      </w:r>
      <w:r>
        <w:rPr>
          <w:color w:val="696F6F"/>
        </w:rPr>
        <w:t>the</w:t>
      </w:r>
      <w:r>
        <w:rPr>
          <w:color w:val="696F6F"/>
          <w:spacing w:val="-3"/>
        </w:rPr>
        <w:t> </w:t>
      </w:r>
      <w:r>
        <w:rPr>
          <w:color w:val="696F6F"/>
        </w:rPr>
        <w:t>constitution</w:t>
      </w:r>
      <w:r>
        <w:rPr>
          <w:color w:val="696F6F"/>
          <w:spacing w:val="-3"/>
        </w:rPr>
        <w:t> </w:t>
      </w:r>
      <w:r>
        <w:rPr>
          <w:color w:val="696F6F"/>
        </w:rPr>
        <w:t>of</w:t>
      </w:r>
      <w:r>
        <w:rPr>
          <w:color w:val="696F6F"/>
          <w:spacing w:val="-3"/>
        </w:rPr>
        <w:t> </w:t>
      </w:r>
      <w:r>
        <w:rPr>
          <w:color w:val="696F6F"/>
        </w:rPr>
        <w:t>Board</w:t>
      </w:r>
      <w:r>
        <w:rPr>
          <w:color w:val="696F6F"/>
          <w:spacing w:val="-3"/>
        </w:rPr>
        <w:t> </w:t>
      </w:r>
      <w:r>
        <w:rPr>
          <w:color w:val="696F6F"/>
        </w:rPr>
        <w:t>of</w:t>
      </w:r>
      <w:r>
        <w:rPr>
          <w:color w:val="696F6F"/>
          <w:spacing w:val="-3"/>
        </w:rPr>
        <w:t> </w:t>
      </w:r>
      <w:r>
        <w:rPr>
          <w:color w:val="696F6F"/>
        </w:rPr>
        <w:t>Directors</w:t>
      </w:r>
      <w:r>
        <w:rPr>
          <w:color w:val="696F6F"/>
          <w:spacing w:val="-3"/>
        </w:rPr>
        <w:t> </w:t>
      </w:r>
      <w:r>
        <w:rPr>
          <w:color w:val="696F6F"/>
        </w:rPr>
        <w:t>during</w:t>
      </w:r>
      <w:r>
        <w:rPr>
          <w:color w:val="696F6F"/>
          <w:spacing w:val="-3"/>
        </w:rPr>
        <w:t> </w:t>
      </w:r>
      <w:r>
        <w:rPr>
          <w:color w:val="696F6F"/>
        </w:rPr>
        <w:t>the</w:t>
      </w:r>
      <w:r>
        <w:rPr>
          <w:color w:val="696F6F"/>
          <w:spacing w:val="-3"/>
        </w:rPr>
        <w:t> </w:t>
      </w:r>
      <w:r>
        <w:rPr>
          <w:color w:val="696F6F"/>
        </w:rPr>
        <w:t>year</w:t>
      </w:r>
      <w:r>
        <w:rPr>
          <w:color w:val="696F6F"/>
          <w:spacing w:val="-3"/>
        </w:rPr>
        <w:t> </w:t>
      </w:r>
      <w:r>
        <w:rPr>
          <w:color w:val="696F6F"/>
        </w:rPr>
        <w:t>under</w:t>
      </w:r>
      <w:r>
        <w:rPr>
          <w:color w:val="696F6F"/>
          <w:spacing w:val="-3"/>
        </w:rPr>
        <w:t> </w:t>
      </w:r>
      <w:r>
        <w:rPr>
          <w:color w:val="696F6F"/>
        </w:rPr>
        <w:t>review</w:t>
      </w:r>
      <w:r>
        <w:rPr>
          <w:color w:val="696F6F"/>
          <w:spacing w:val="-3"/>
        </w:rPr>
        <w:t> </w:t>
      </w:r>
      <w:r>
        <w:rPr>
          <w:color w:val="696F6F"/>
        </w:rPr>
        <w:t>i.e.</w:t>
      </w:r>
      <w:r>
        <w:rPr>
          <w:color w:val="696F6F"/>
          <w:spacing w:val="-3"/>
        </w:rPr>
        <w:t> </w:t>
      </w:r>
      <w:r>
        <w:rPr>
          <w:color w:val="696F6F"/>
        </w:rPr>
        <w:t>the</w:t>
      </w:r>
      <w:r>
        <w:rPr>
          <w:color w:val="696F6F"/>
          <w:spacing w:val="-3"/>
        </w:rPr>
        <w:t> </w:t>
      </w:r>
      <w:r>
        <w:rPr>
          <w:color w:val="696F6F"/>
        </w:rPr>
        <w:t>structure</w:t>
      </w:r>
      <w:r>
        <w:rPr>
          <w:color w:val="696F6F"/>
          <w:spacing w:val="-3"/>
        </w:rPr>
        <w:t> </w:t>
      </w:r>
      <w:r>
        <w:rPr>
          <w:color w:val="696F6F"/>
        </w:rPr>
        <w:t>of</w:t>
      </w:r>
      <w:r>
        <w:rPr>
          <w:color w:val="696F6F"/>
          <w:spacing w:val="-3"/>
        </w:rPr>
        <w:t> </w:t>
      </w:r>
      <w:r>
        <w:rPr>
          <w:color w:val="696F6F"/>
        </w:rPr>
        <w:t>the</w:t>
      </w:r>
      <w:r>
        <w:rPr>
          <w:color w:val="696F6F"/>
          <w:spacing w:val="-3"/>
        </w:rPr>
        <w:t> </w:t>
      </w:r>
      <w:r>
        <w:rPr>
          <w:color w:val="696F6F"/>
        </w:rPr>
        <w:t>Board</w:t>
      </w:r>
      <w:r>
        <w:rPr>
          <w:color w:val="696F6F"/>
          <w:spacing w:val="-3"/>
        </w:rPr>
        <w:t> </w:t>
      </w:r>
      <w:r>
        <w:rPr>
          <w:color w:val="696F6F"/>
        </w:rPr>
        <w:t>remains</w:t>
      </w:r>
      <w:r>
        <w:rPr>
          <w:color w:val="696F6F"/>
          <w:spacing w:val="-3"/>
        </w:rPr>
        <w:t> </w:t>
      </w:r>
      <w:r>
        <w:rPr>
          <w:color w:val="696F6F"/>
        </w:rPr>
        <w:t>the </w:t>
      </w:r>
      <w:r>
        <w:rPr>
          <w:color w:val="696F6F"/>
          <w:spacing w:val="-2"/>
        </w:rPr>
        <w:t>same.</w:t>
      </w:r>
    </w:p>
    <w:p>
      <w:pPr>
        <w:pStyle w:val="BodyText"/>
        <w:spacing w:before="139"/>
      </w:pPr>
    </w:p>
    <w:p>
      <w:pPr>
        <w:pStyle w:val="Heading2"/>
      </w:pPr>
      <w:r>
        <w:rPr>
          <w:color w:val="FF0000"/>
        </w:rPr>
        <w:t>In</w:t>
      </w:r>
      <w:r>
        <w:rPr>
          <w:color w:val="FF0000"/>
          <w:spacing w:val="-1"/>
        </w:rPr>
        <w:t> </w:t>
      </w:r>
      <w:r>
        <w:rPr>
          <w:color w:val="FF0000"/>
        </w:rPr>
        <w:t>Case</w:t>
      </w:r>
      <w:r>
        <w:rPr>
          <w:color w:val="FF0000"/>
          <w:spacing w:val="-1"/>
        </w:rPr>
        <w:t> </w:t>
      </w:r>
      <w:r>
        <w:rPr>
          <w:color w:val="FF0000"/>
        </w:rPr>
        <w:t>of</w:t>
      </w:r>
      <w:r>
        <w:rPr>
          <w:color w:val="FF0000"/>
          <w:spacing w:val="-1"/>
        </w:rPr>
        <w:t> </w:t>
      </w:r>
      <w:r>
        <w:rPr>
          <w:color w:val="FF0000"/>
        </w:rPr>
        <w:t>Changes</w:t>
      </w:r>
      <w:r>
        <w:rPr>
          <w:color w:val="FF0000"/>
          <w:spacing w:val="-1"/>
        </w:rPr>
        <w:t> </w:t>
      </w:r>
      <w:r>
        <w:rPr>
          <w:color w:val="FF0000"/>
        </w:rPr>
        <w:t>to</w:t>
      </w:r>
      <w:r>
        <w:rPr>
          <w:color w:val="FF0000"/>
          <w:spacing w:val="-1"/>
        </w:rPr>
        <w:t> </w:t>
      </w:r>
      <w:r>
        <w:rPr>
          <w:color w:val="FF0000"/>
        </w:rPr>
        <w:t>Board</w:t>
      </w:r>
      <w:r>
        <w:rPr>
          <w:color w:val="FF0000"/>
          <w:spacing w:val="-1"/>
        </w:rPr>
        <w:t> </w:t>
      </w:r>
      <w:r>
        <w:rPr>
          <w:color w:val="FF0000"/>
        </w:rPr>
        <w:t>of</w:t>
      </w:r>
      <w:r>
        <w:rPr>
          <w:color w:val="FF0000"/>
          <w:spacing w:val="-1"/>
        </w:rPr>
        <w:t> </w:t>
      </w:r>
      <w:r>
        <w:rPr>
          <w:color w:val="FF0000"/>
          <w:spacing w:val="-2"/>
        </w:rPr>
        <w:t>Directors</w:t>
      </w:r>
    </w:p>
    <w:p>
      <w:pPr>
        <w:pStyle w:val="BodyText"/>
        <w:ind w:left="359"/>
      </w:pPr>
      <w:r>
        <w:rPr>
          <w:color w:val="696F6F"/>
        </w:rPr>
        <w:t>The following changes have</w:t>
      </w:r>
      <w:r>
        <w:rPr>
          <w:color w:val="696F6F"/>
          <w:spacing w:val="1"/>
        </w:rPr>
        <w:t> </w:t>
      </w:r>
      <w:r>
        <w:rPr>
          <w:color w:val="696F6F"/>
        </w:rPr>
        <w:t>been made to</w:t>
      </w:r>
      <w:r>
        <w:rPr>
          <w:color w:val="696F6F"/>
          <w:spacing w:val="1"/>
        </w:rPr>
        <w:t> </w:t>
      </w:r>
      <w:r>
        <w:rPr>
          <w:color w:val="696F6F"/>
        </w:rPr>
        <w:t>the Board of</w:t>
      </w:r>
      <w:r>
        <w:rPr>
          <w:color w:val="696F6F"/>
          <w:spacing w:val="1"/>
        </w:rPr>
        <w:t> </w:t>
      </w:r>
      <w:r>
        <w:rPr>
          <w:color w:val="696F6F"/>
        </w:rPr>
        <w:t>Directors of the</w:t>
      </w:r>
      <w:r>
        <w:rPr>
          <w:color w:val="696F6F"/>
          <w:spacing w:val="1"/>
        </w:rPr>
        <w:t> </w:t>
      </w:r>
      <w:r>
        <w:rPr>
          <w:color w:val="696F6F"/>
        </w:rPr>
        <w:t>Company during the</w:t>
      </w:r>
      <w:r>
        <w:rPr>
          <w:color w:val="696F6F"/>
          <w:spacing w:val="1"/>
        </w:rPr>
        <w:t> </w:t>
      </w:r>
      <w:r>
        <w:rPr>
          <w:color w:val="696F6F"/>
          <w:spacing w:val="-2"/>
        </w:rPr>
        <w:t>year:</w:t>
      </w:r>
    </w:p>
    <w:p>
      <w:pPr>
        <w:pStyle w:val="BodyText"/>
        <w:spacing w:before="82"/>
        <w:rPr>
          <w:sz w:val="20"/>
        </w:rPr>
      </w:pPr>
    </w:p>
    <w:tbl>
      <w:tblPr>
        <w:tblW w:w="0" w:type="auto"/>
        <w:jc w:val="left"/>
        <w:tblInd w:w="284"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615"/>
        <w:gridCol w:w="705"/>
        <w:gridCol w:w="1260"/>
        <w:gridCol w:w="2670"/>
        <w:gridCol w:w="3555"/>
      </w:tblGrid>
      <w:tr>
        <w:trPr>
          <w:trHeight w:val="569" w:hRule="atLeast"/>
        </w:trPr>
        <w:tc>
          <w:tcPr>
            <w:tcW w:w="615" w:type="dxa"/>
          </w:tcPr>
          <w:p>
            <w:pPr>
              <w:pStyle w:val="TableParagraph"/>
              <w:spacing w:before="90"/>
              <w:ind w:left="82"/>
              <w:rPr>
                <w:b/>
                <w:sz w:val="15"/>
              </w:rPr>
            </w:pPr>
            <w:r>
              <w:rPr>
                <w:b/>
                <w:color w:val="333333"/>
                <w:spacing w:val="-4"/>
                <w:sz w:val="15"/>
              </w:rPr>
              <w:t>S.No</w:t>
            </w:r>
          </w:p>
        </w:tc>
        <w:tc>
          <w:tcPr>
            <w:tcW w:w="705" w:type="dxa"/>
          </w:tcPr>
          <w:p>
            <w:pPr>
              <w:pStyle w:val="TableParagraph"/>
              <w:spacing w:before="90"/>
              <w:ind w:left="82"/>
              <w:rPr>
                <w:b/>
                <w:sz w:val="15"/>
              </w:rPr>
            </w:pPr>
            <w:r>
              <w:rPr>
                <w:b/>
                <w:color w:val="333333"/>
                <w:spacing w:val="-4"/>
                <w:sz w:val="15"/>
              </w:rPr>
              <w:t>Name</w:t>
            </w:r>
          </w:p>
        </w:tc>
        <w:tc>
          <w:tcPr>
            <w:tcW w:w="1260" w:type="dxa"/>
          </w:tcPr>
          <w:p>
            <w:pPr>
              <w:pStyle w:val="TableParagraph"/>
              <w:spacing w:before="90"/>
              <w:ind w:left="82"/>
              <w:rPr>
                <w:b/>
                <w:sz w:val="15"/>
              </w:rPr>
            </w:pPr>
            <w:r>
              <w:rPr>
                <w:b/>
                <w:color w:val="333333"/>
                <w:spacing w:val="-2"/>
                <w:sz w:val="15"/>
              </w:rPr>
              <w:t>Designation</w:t>
            </w:r>
          </w:p>
        </w:tc>
        <w:tc>
          <w:tcPr>
            <w:tcW w:w="2670" w:type="dxa"/>
          </w:tcPr>
          <w:p>
            <w:pPr>
              <w:pStyle w:val="TableParagraph"/>
              <w:spacing w:before="90"/>
              <w:ind w:left="82"/>
              <w:rPr>
                <w:b/>
                <w:sz w:val="15"/>
              </w:rPr>
            </w:pPr>
            <w:r>
              <w:rPr>
                <w:b/>
                <w:color w:val="333333"/>
                <w:spacing w:val="-6"/>
                <w:sz w:val="15"/>
              </w:rPr>
              <w:t>Appointment</w:t>
            </w:r>
            <w:r>
              <w:rPr>
                <w:b/>
                <w:color w:val="333333"/>
                <w:spacing w:val="2"/>
                <w:sz w:val="15"/>
              </w:rPr>
              <w:t> </w:t>
            </w:r>
            <w:r>
              <w:rPr>
                <w:b/>
                <w:color w:val="333333"/>
                <w:spacing w:val="-6"/>
                <w:sz w:val="15"/>
              </w:rPr>
              <w:t>or</w:t>
            </w:r>
            <w:r>
              <w:rPr>
                <w:b/>
                <w:color w:val="333333"/>
                <w:spacing w:val="3"/>
                <w:sz w:val="15"/>
              </w:rPr>
              <w:t> </w:t>
            </w:r>
            <w:r>
              <w:rPr>
                <w:b/>
                <w:color w:val="333333"/>
                <w:spacing w:val="-6"/>
                <w:sz w:val="15"/>
              </w:rPr>
              <w:t>Resignation</w:t>
            </w:r>
          </w:p>
        </w:tc>
        <w:tc>
          <w:tcPr>
            <w:tcW w:w="3555" w:type="dxa"/>
          </w:tcPr>
          <w:p>
            <w:pPr>
              <w:pStyle w:val="TableParagraph"/>
              <w:spacing w:before="90"/>
              <w:ind w:left="82"/>
              <w:rPr>
                <w:b/>
                <w:sz w:val="15"/>
              </w:rPr>
            </w:pPr>
            <w:r>
              <w:rPr>
                <w:b/>
                <w:color w:val="333333"/>
                <w:spacing w:val="-6"/>
                <w:sz w:val="15"/>
              </w:rPr>
              <w:t>Appointment</w:t>
            </w:r>
            <w:r>
              <w:rPr>
                <w:b/>
                <w:color w:val="333333"/>
                <w:spacing w:val="6"/>
                <w:sz w:val="15"/>
              </w:rPr>
              <w:t> </w:t>
            </w:r>
            <w:r>
              <w:rPr>
                <w:b/>
                <w:color w:val="333333"/>
                <w:spacing w:val="-6"/>
                <w:sz w:val="15"/>
              </w:rPr>
              <w:t>Date</w:t>
            </w:r>
            <w:r>
              <w:rPr>
                <w:b/>
                <w:color w:val="333333"/>
                <w:spacing w:val="6"/>
                <w:sz w:val="15"/>
              </w:rPr>
              <w:t> </w:t>
            </w:r>
            <w:r>
              <w:rPr>
                <w:b/>
                <w:color w:val="333333"/>
                <w:spacing w:val="-6"/>
                <w:sz w:val="15"/>
              </w:rPr>
              <w:t>or</w:t>
            </w:r>
            <w:r>
              <w:rPr>
                <w:b/>
                <w:color w:val="333333"/>
                <w:spacing w:val="6"/>
                <w:sz w:val="15"/>
              </w:rPr>
              <w:t> </w:t>
            </w:r>
            <w:r>
              <w:rPr>
                <w:b/>
                <w:color w:val="333333"/>
                <w:spacing w:val="-6"/>
                <w:sz w:val="15"/>
              </w:rPr>
              <w:t>Resignation</w:t>
            </w:r>
            <w:r>
              <w:rPr>
                <w:b/>
                <w:color w:val="333333"/>
                <w:spacing w:val="6"/>
                <w:sz w:val="15"/>
              </w:rPr>
              <w:t> </w:t>
            </w:r>
            <w:r>
              <w:rPr>
                <w:b/>
                <w:color w:val="333333"/>
                <w:spacing w:val="-6"/>
                <w:sz w:val="15"/>
              </w:rPr>
              <w:t>Date</w:t>
            </w:r>
          </w:p>
        </w:tc>
      </w:tr>
      <w:tr>
        <w:trPr>
          <w:trHeight w:val="584" w:hRule="atLeast"/>
        </w:trPr>
        <w:tc>
          <w:tcPr>
            <w:tcW w:w="615" w:type="dxa"/>
          </w:tcPr>
          <w:p>
            <w:pPr>
              <w:pStyle w:val="TableParagraph"/>
              <w:rPr>
                <w:rFonts w:ascii="Times New Roman"/>
                <w:sz w:val="14"/>
              </w:rPr>
            </w:pPr>
          </w:p>
        </w:tc>
        <w:tc>
          <w:tcPr>
            <w:tcW w:w="705" w:type="dxa"/>
          </w:tcPr>
          <w:p>
            <w:pPr>
              <w:pStyle w:val="TableParagraph"/>
              <w:rPr>
                <w:rFonts w:ascii="Times New Roman"/>
                <w:sz w:val="14"/>
              </w:rPr>
            </w:pPr>
          </w:p>
        </w:tc>
        <w:tc>
          <w:tcPr>
            <w:tcW w:w="1260" w:type="dxa"/>
          </w:tcPr>
          <w:p>
            <w:pPr>
              <w:pStyle w:val="TableParagraph"/>
              <w:rPr>
                <w:rFonts w:ascii="Times New Roman"/>
                <w:sz w:val="14"/>
              </w:rPr>
            </w:pPr>
          </w:p>
        </w:tc>
        <w:tc>
          <w:tcPr>
            <w:tcW w:w="2670" w:type="dxa"/>
          </w:tcPr>
          <w:p>
            <w:pPr>
              <w:pStyle w:val="TableParagraph"/>
              <w:rPr>
                <w:rFonts w:ascii="Times New Roman"/>
                <w:sz w:val="14"/>
              </w:rPr>
            </w:pPr>
          </w:p>
        </w:tc>
        <w:tc>
          <w:tcPr>
            <w:tcW w:w="3555" w:type="dxa"/>
          </w:tcPr>
          <w:p>
            <w:pPr>
              <w:pStyle w:val="TableParagraph"/>
              <w:rPr>
                <w:rFonts w:ascii="Times New Roman"/>
                <w:sz w:val="14"/>
              </w:rPr>
            </w:pPr>
          </w:p>
        </w:tc>
      </w:tr>
      <w:tr>
        <w:trPr>
          <w:trHeight w:val="584" w:hRule="atLeast"/>
        </w:trPr>
        <w:tc>
          <w:tcPr>
            <w:tcW w:w="615" w:type="dxa"/>
          </w:tcPr>
          <w:p>
            <w:pPr>
              <w:pStyle w:val="TableParagraph"/>
              <w:rPr>
                <w:rFonts w:ascii="Times New Roman"/>
                <w:sz w:val="14"/>
              </w:rPr>
            </w:pPr>
          </w:p>
        </w:tc>
        <w:tc>
          <w:tcPr>
            <w:tcW w:w="705" w:type="dxa"/>
          </w:tcPr>
          <w:p>
            <w:pPr>
              <w:pStyle w:val="TableParagraph"/>
              <w:rPr>
                <w:rFonts w:ascii="Times New Roman"/>
                <w:sz w:val="14"/>
              </w:rPr>
            </w:pPr>
          </w:p>
        </w:tc>
        <w:tc>
          <w:tcPr>
            <w:tcW w:w="1260" w:type="dxa"/>
          </w:tcPr>
          <w:p>
            <w:pPr>
              <w:pStyle w:val="TableParagraph"/>
              <w:rPr>
                <w:rFonts w:ascii="Times New Roman"/>
                <w:sz w:val="14"/>
              </w:rPr>
            </w:pPr>
          </w:p>
        </w:tc>
        <w:tc>
          <w:tcPr>
            <w:tcW w:w="2670" w:type="dxa"/>
          </w:tcPr>
          <w:p>
            <w:pPr>
              <w:pStyle w:val="TableParagraph"/>
              <w:rPr>
                <w:rFonts w:ascii="Times New Roman"/>
                <w:sz w:val="14"/>
              </w:rPr>
            </w:pPr>
          </w:p>
        </w:tc>
        <w:tc>
          <w:tcPr>
            <w:tcW w:w="3555" w:type="dxa"/>
          </w:tcPr>
          <w:p>
            <w:pPr>
              <w:pStyle w:val="TableParagraph"/>
              <w:rPr>
                <w:rFonts w:ascii="Times New Roman"/>
                <w:sz w:val="14"/>
              </w:rPr>
            </w:pPr>
          </w:p>
        </w:tc>
      </w:tr>
    </w:tbl>
    <w:p>
      <w:pPr>
        <w:pStyle w:val="BodyText"/>
        <w:spacing w:before="0"/>
        <w:ind w:left="359"/>
      </w:pPr>
      <w:r>
        <w:rPr>
          <w:color w:val="696F6F"/>
        </w:rPr>
        <w:t>In</w:t>
      </w:r>
      <w:r>
        <w:rPr>
          <w:color w:val="696F6F"/>
          <w:spacing w:val="-1"/>
        </w:rPr>
        <w:t> </w:t>
      </w:r>
      <w:r>
        <w:rPr>
          <w:color w:val="696F6F"/>
        </w:rPr>
        <w:t>view</w:t>
      </w:r>
      <w:r>
        <w:rPr>
          <w:color w:val="696F6F"/>
          <w:spacing w:val="-1"/>
        </w:rPr>
        <w:t> </w:t>
      </w:r>
      <w:r>
        <w:rPr>
          <w:color w:val="696F6F"/>
        </w:rPr>
        <w:t>of the</w:t>
      </w:r>
      <w:r>
        <w:rPr>
          <w:color w:val="696F6F"/>
          <w:spacing w:val="-1"/>
        </w:rPr>
        <w:t> </w:t>
      </w:r>
      <w:r>
        <w:rPr>
          <w:color w:val="696F6F"/>
        </w:rPr>
        <w:t>applicable</w:t>
      </w:r>
      <w:r>
        <w:rPr>
          <w:color w:val="696F6F"/>
          <w:spacing w:val="-1"/>
        </w:rPr>
        <w:t> </w:t>
      </w:r>
      <w:r>
        <w:rPr>
          <w:color w:val="696F6F"/>
        </w:rPr>
        <w:t>provisions</w:t>
      </w:r>
      <w:r>
        <w:rPr>
          <w:color w:val="696F6F"/>
          <w:spacing w:val="-1"/>
        </w:rPr>
        <w:t> </w:t>
      </w:r>
      <w:r>
        <w:rPr>
          <w:color w:val="696F6F"/>
        </w:rPr>
        <w:t>of the</w:t>
      </w:r>
      <w:r>
        <w:rPr>
          <w:color w:val="696F6F"/>
          <w:spacing w:val="-1"/>
        </w:rPr>
        <w:t> </w:t>
      </w:r>
      <w:r>
        <w:rPr>
          <w:color w:val="696F6F"/>
        </w:rPr>
        <w:t>Companies</w:t>
      </w:r>
      <w:r>
        <w:rPr>
          <w:color w:val="696F6F"/>
          <w:spacing w:val="-1"/>
        </w:rPr>
        <w:t> </w:t>
      </w:r>
      <w:r>
        <w:rPr>
          <w:color w:val="696F6F"/>
        </w:rPr>
        <w:t>Act, 2013,</w:t>
      </w:r>
      <w:r>
        <w:rPr>
          <w:color w:val="696F6F"/>
          <w:spacing w:val="-1"/>
        </w:rPr>
        <w:t> </w:t>
      </w:r>
      <w:r>
        <w:rPr>
          <w:color w:val="696F6F"/>
        </w:rPr>
        <w:t>the</w:t>
      </w:r>
      <w:r>
        <w:rPr>
          <w:color w:val="696F6F"/>
          <w:spacing w:val="-1"/>
        </w:rPr>
        <w:t> </w:t>
      </w:r>
      <w:r>
        <w:rPr>
          <w:color w:val="696F6F"/>
        </w:rPr>
        <w:t>Company is</w:t>
      </w:r>
      <w:r>
        <w:rPr>
          <w:color w:val="696F6F"/>
          <w:spacing w:val="-1"/>
        </w:rPr>
        <w:t> </w:t>
      </w:r>
      <w:r>
        <w:rPr>
          <w:color w:val="696F6F"/>
        </w:rPr>
        <w:t>not</w:t>
      </w:r>
      <w:r>
        <w:rPr>
          <w:color w:val="696F6F"/>
          <w:spacing w:val="-1"/>
        </w:rPr>
        <w:t> </w:t>
      </w:r>
      <w:r>
        <w:rPr>
          <w:color w:val="696F6F"/>
        </w:rPr>
        <w:t>mandatorily required</w:t>
      </w:r>
      <w:r>
        <w:rPr>
          <w:color w:val="696F6F"/>
          <w:spacing w:val="-1"/>
        </w:rPr>
        <w:t> </w:t>
      </w:r>
      <w:r>
        <w:rPr>
          <w:color w:val="696F6F"/>
        </w:rPr>
        <w:t>to</w:t>
      </w:r>
      <w:r>
        <w:rPr>
          <w:color w:val="696F6F"/>
          <w:spacing w:val="-1"/>
        </w:rPr>
        <w:t> </w:t>
      </w:r>
      <w:r>
        <w:rPr>
          <w:color w:val="696F6F"/>
        </w:rPr>
        <w:t>appoint any</w:t>
      </w:r>
      <w:r>
        <w:rPr>
          <w:color w:val="696F6F"/>
          <w:spacing w:val="-1"/>
        </w:rPr>
        <w:t> </w:t>
      </w:r>
      <w:r>
        <w:rPr>
          <w:color w:val="696F6F"/>
        </w:rPr>
        <w:t>whole</w:t>
      </w:r>
      <w:r>
        <w:rPr>
          <w:color w:val="696F6F"/>
          <w:spacing w:val="-1"/>
        </w:rPr>
        <w:t> </w:t>
      </w:r>
      <w:r>
        <w:rPr>
          <w:color w:val="696F6F"/>
        </w:rPr>
        <w:t>time </w:t>
      </w:r>
      <w:r>
        <w:rPr>
          <w:color w:val="696F6F"/>
          <w:spacing w:val="-2"/>
        </w:rPr>
        <w:t>KMPs.</w:t>
      </w:r>
    </w:p>
    <w:p>
      <w:pPr>
        <w:pStyle w:val="BodyText"/>
        <w:spacing w:before="146"/>
      </w:pPr>
    </w:p>
    <w:p>
      <w:pPr>
        <w:pStyle w:val="Heading1"/>
      </w:pPr>
      <w:r>
        <w:rPr>
          <w:color w:val="111111"/>
        </w:rPr>
        <w:t>Meeting</w:t>
      </w:r>
      <w:r>
        <w:rPr>
          <w:color w:val="111111"/>
          <w:spacing w:val="-1"/>
        </w:rPr>
        <w:t> </w:t>
      </w:r>
      <w:r>
        <w:rPr>
          <w:color w:val="111111"/>
        </w:rPr>
        <w:t>of</w:t>
      </w:r>
      <w:r>
        <w:rPr>
          <w:color w:val="111111"/>
          <w:spacing w:val="-1"/>
        </w:rPr>
        <w:t> </w:t>
      </w:r>
      <w:r>
        <w:rPr>
          <w:color w:val="111111"/>
        </w:rPr>
        <w:t>Board</w:t>
      </w:r>
      <w:r>
        <w:rPr>
          <w:color w:val="111111"/>
          <w:spacing w:val="-1"/>
        </w:rPr>
        <w:t> </w:t>
      </w:r>
      <w:r>
        <w:rPr>
          <w:color w:val="111111"/>
        </w:rPr>
        <w:t>of</w:t>
      </w:r>
      <w:r>
        <w:rPr>
          <w:color w:val="111111"/>
          <w:spacing w:val="-1"/>
        </w:rPr>
        <w:t> </w:t>
      </w:r>
      <w:r>
        <w:rPr>
          <w:color w:val="111111"/>
          <w:spacing w:val="-2"/>
        </w:rPr>
        <w:t>Directors</w:t>
      </w:r>
    </w:p>
    <w:p>
      <w:pPr>
        <w:pStyle w:val="BodyText"/>
        <w:spacing w:line="249" w:lineRule="auto"/>
        <w:ind w:left="359" w:right="127"/>
      </w:pPr>
      <w:r>
        <w:rPr>
          <w:color w:val="696F6F"/>
        </w:rPr>
        <w:t>A total of XX Board Meetings were held during the financial year ended 31st March 20XX. The maximum gap between any two Board Meetings was less than one 120 days. The names of members of the Board, their attendance at the Board Meetings are as under:</w:t>
      </w:r>
    </w:p>
    <w:p>
      <w:pPr>
        <w:pStyle w:val="BodyText"/>
        <w:spacing w:before="53"/>
        <w:rPr>
          <w:sz w:val="20"/>
        </w:rPr>
      </w:pPr>
      <w:r>
        <w:rPr>
          <w:sz w:val="20"/>
        </w:rPr>
        <mc:AlternateContent>
          <mc:Choice Requires="wps">
            <w:drawing>
              <wp:anchor distT="0" distB="0" distL="0" distR="0" allowOverlap="1" layoutInCell="1" locked="0" behindDoc="1" simplePos="0" relativeHeight="487588864">
                <wp:simplePos x="0" y="0"/>
                <wp:positionH relativeFrom="page">
                  <wp:posOffset>857249</wp:posOffset>
                </wp:positionH>
                <wp:positionV relativeFrom="paragraph">
                  <wp:posOffset>202505</wp:posOffset>
                </wp:positionV>
                <wp:extent cx="5600700" cy="38100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5600700" cy="381000"/>
                          <a:chExt cx="5600700" cy="381000"/>
                        </a:xfrm>
                      </wpg:grpSpPr>
                      <wps:wsp>
                        <wps:cNvPr id="5" name="Textbox 5"/>
                        <wps:cNvSpPr txBox="1"/>
                        <wps:spPr>
                          <a:xfrm>
                            <a:off x="1557337" y="4762"/>
                            <a:ext cx="4038600" cy="371475"/>
                          </a:xfrm>
                          <a:prstGeom prst="rect">
                            <a:avLst/>
                          </a:prstGeom>
                          <a:ln w="9524">
                            <a:solidFill>
                              <a:srgbClr val="DDDDDD"/>
                            </a:solidFill>
                            <a:prstDash val="solid"/>
                          </a:ln>
                        </wps:spPr>
                        <wps:txbx>
                          <w:txbxContent>
                            <w:p>
                              <w:pPr>
                                <w:spacing w:before="86"/>
                                <w:ind w:left="75" w:right="0" w:firstLine="0"/>
                                <w:jc w:val="left"/>
                                <w:rPr>
                                  <w:b/>
                                  <w:sz w:val="15"/>
                                </w:rPr>
                              </w:pPr>
                              <w:r>
                                <w:rPr>
                                  <w:b/>
                                  <w:color w:val="333333"/>
                                  <w:spacing w:val="-6"/>
                                  <w:sz w:val="15"/>
                                </w:rPr>
                                <w:t>Number</w:t>
                              </w:r>
                              <w:r>
                                <w:rPr>
                                  <w:b/>
                                  <w:color w:val="333333"/>
                                  <w:spacing w:val="-1"/>
                                  <w:sz w:val="15"/>
                                </w:rPr>
                                <w:t> </w:t>
                              </w:r>
                              <w:r>
                                <w:rPr>
                                  <w:b/>
                                  <w:color w:val="333333"/>
                                  <w:spacing w:val="-6"/>
                                  <w:sz w:val="15"/>
                                </w:rPr>
                                <w:t>of</w:t>
                              </w:r>
                              <w:r>
                                <w:rPr>
                                  <w:b/>
                                  <w:color w:val="333333"/>
                                  <w:spacing w:val="-1"/>
                                  <w:sz w:val="15"/>
                                </w:rPr>
                                <w:t> </w:t>
                              </w:r>
                              <w:r>
                                <w:rPr>
                                  <w:b/>
                                  <w:color w:val="333333"/>
                                  <w:spacing w:val="-6"/>
                                  <w:sz w:val="15"/>
                                </w:rPr>
                                <w:t>Meetings</w:t>
                              </w:r>
                              <w:r>
                                <w:rPr>
                                  <w:b/>
                                  <w:color w:val="333333"/>
                                  <w:sz w:val="15"/>
                                </w:rPr>
                                <w:t> </w:t>
                              </w:r>
                              <w:r>
                                <w:rPr>
                                  <w:b/>
                                  <w:color w:val="333333"/>
                                  <w:spacing w:val="-6"/>
                                  <w:sz w:val="15"/>
                                </w:rPr>
                                <w:t>Attended/</w:t>
                              </w:r>
                              <w:r>
                                <w:rPr>
                                  <w:b/>
                                  <w:color w:val="333333"/>
                                  <w:spacing w:val="-1"/>
                                  <w:sz w:val="15"/>
                                </w:rPr>
                                <w:t> </w:t>
                              </w:r>
                              <w:r>
                                <w:rPr>
                                  <w:b/>
                                  <w:color w:val="333333"/>
                                  <w:spacing w:val="-6"/>
                                  <w:sz w:val="15"/>
                                </w:rPr>
                                <w:t>Total</w:t>
                              </w:r>
                              <w:r>
                                <w:rPr>
                                  <w:b/>
                                  <w:color w:val="333333"/>
                                  <w:spacing w:val="-1"/>
                                  <w:sz w:val="15"/>
                                </w:rPr>
                                <w:t> </w:t>
                              </w:r>
                              <w:r>
                                <w:rPr>
                                  <w:b/>
                                  <w:color w:val="333333"/>
                                  <w:spacing w:val="-6"/>
                                  <w:sz w:val="15"/>
                                </w:rPr>
                                <w:t>Meetings</w:t>
                              </w:r>
                              <w:r>
                                <w:rPr>
                                  <w:b/>
                                  <w:color w:val="333333"/>
                                  <w:sz w:val="15"/>
                                </w:rPr>
                                <w:t> </w:t>
                              </w:r>
                              <w:r>
                                <w:rPr>
                                  <w:b/>
                                  <w:color w:val="333333"/>
                                  <w:spacing w:val="-6"/>
                                  <w:sz w:val="15"/>
                                </w:rPr>
                                <w:t>Held</w:t>
                              </w:r>
                            </w:p>
                          </w:txbxContent>
                        </wps:txbx>
                        <wps:bodyPr wrap="square" lIns="0" tIns="0" rIns="0" bIns="0" rtlCol="0">
                          <a:noAutofit/>
                        </wps:bodyPr>
                      </wps:wsp>
                      <wps:wsp>
                        <wps:cNvPr id="6" name="Textbox 6"/>
                        <wps:cNvSpPr txBox="1"/>
                        <wps:spPr>
                          <a:xfrm>
                            <a:off x="4762" y="4762"/>
                            <a:ext cx="1552575" cy="371475"/>
                          </a:xfrm>
                          <a:prstGeom prst="rect">
                            <a:avLst/>
                          </a:prstGeom>
                          <a:ln w="9524">
                            <a:solidFill>
                              <a:srgbClr val="DDDDDD"/>
                            </a:solidFill>
                            <a:prstDash val="solid"/>
                          </a:ln>
                        </wps:spPr>
                        <wps:txbx>
                          <w:txbxContent>
                            <w:p>
                              <w:pPr>
                                <w:spacing w:before="86"/>
                                <w:ind w:left="75" w:right="0" w:firstLine="0"/>
                                <w:jc w:val="left"/>
                                <w:rPr>
                                  <w:b/>
                                  <w:sz w:val="15"/>
                                </w:rPr>
                              </w:pPr>
                              <w:r>
                                <w:rPr>
                                  <w:b/>
                                  <w:color w:val="333333"/>
                                  <w:spacing w:val="-4"/>
                                  <w:sz w:val="15"/>
                                </w:rPr>
                                <w:t>Name</w:t>
                              </w:r>
                              <w:r>
                                <w:rPr>
                                  <w:b/>
                                  <w:color w:val="333333"/>
                                  <w:spacing w:val="-7"/>
                                  <w:sz w:val="15"/>
                                </w:rPr>
                                <w:t> </w:t>
                              </w:r>
                              <w:r>
                                <w:rPr>
                                  <w:b/>
                                  <w:color w:val="333333"/>
                                  <w:spacing w:val="-4"/>
                                  <w:sz w:val="15"/>
                                </w:rPr>
                                <w:t>of</w:t>
                              </w:r>
                              <w:r>
                                <w:rPr>
                                  <w:b/>
                                  <w:color w:val="333333"/>
                                  <w:spacing w:val="-6"/>
                                  <w:sz w:val="15"/>
                                </w:rPr>
                                <w:t> </w:t>
                              </w:r>
                              <w:r>
                                <w:rPr>
                                  <w:b/>
                                  <w:color w:val="333333"/>
                                  <w:spacing w:val="-4"/>
                                  <w:sz w:val="15"/>
                                </w:rPr>
                                <w:t>Directors</w:t>
                              </w:r>
                            </w:p>
                          </w:txbxContent>
                        </wps:txbx>
                        <wps:bodyPr wrap="square" lIns="0" tIns="0" rIns="0" bIns="0" rtlCol="0">
                          <a:noAutofit/>
                        </wps:bodyPr>
                      </wps:wsp>
                    </wpg:wgp>
                  </a:graphicData>
                </a:graphic>
              </wp:anchor>
            </w:drawing>
          </mc:Choice>
          <mc:Fallback>
            <w:pict>
              <v:group style="position:absolute;margin-left:67.499992pt;margin-top:15.945313pt;width:441pt;height:30pt;mso-position-horizontal-relative:page;mso-position-vertical-relative:paragraph;z-index:-15727616;mso-wrap-distance-left:0;mso-wrap-distance-right:0" id="docshapegroup3" coordorigin="1350,319" coordsize="8820,600">
                <v:shapetype id="_x0000_t202" o:spt="202" coordsize="21600,21600" path="m,l,21600r21600,l21600,xe">
                  <v:stroke joinstyle="miter"/>
                  <v:path gradientshapeok="t" o:connecttype="rect"/>
                </v:shapetype>
                <v:shape style="position:absolute;left:3802;top:326;width:6360;height:585" type="#_x0000_t202" id="docshape4" filled="false" stroked="true" strokeweight=".75pt" strokecolor="#dddddd">
                  <v:textbox inset="0,0,0,0">
                    <w:txbxContent>
                      <w:p>
                        <w:pPr>
                          <w:spacing w:before="86"/>
                          <w:ind w:left="75" w:right="0" w:firstLine="0"/>
                          <w:jc w:val="left"/>
                          <w:rPr>
                            <w:b/>
                            <w:sz w:val="15"/>
                          </w:rPr>
                        </w:pPr>
                        <w:r>
                          <w:rPr>
                            <w:b/>
                            <w:color w:val="333333"/>
                            <w:spacing w:val="-6"/>
                            <w:sz w:val="15"/>
                          </w:rPr>
                          <w:t>Number</w:t>
                        </w:r>
                        <w:r>
                          <w:rPr>
                            <w:b/>
                            <w:color w:val="333333"/>
                            <w:spacing w:val="-1"/>
                            <w:sz w:val="15"/>
                          </w:rPr>
                          <w:t> </w:t>
                        </w:r>
                        <w:r>
                          <w:rPr>
                            <w:b/>
                            <w:color w:val="333333"/>
                            <w:spacing w:val="-6"/>
                            <w:sz w:val="15"/>
                          </w:rPr>
                          <w:t>of</w:t>
                        </w:r>
                        <w:r>
                          <w:rPr>
                            <w:b/>
                            <w:color w:val="333333"/>
                            <w:spacing w:val="-1"/>
                            <w:sz w:val="15"/>
                          </w:rPr>
                          <w:t> </w:t>
                        </w:r>
                        <w:r>
                          <w:rPr>
                            <w:b/>
                            <w:color w:val="333333"/>
                            <w:spacing w:val="-6"/>
                            <w:sz w:val="15"/>
                          </w:rPr>
                          <w:t>Meetings</w:t>
                        </w:r>
                        <w:r>
                          <w:rPr>
                            <w:b/>
                            <w:color w:val="333333"/>
                            <w:sz w:val="15"/>
                          </w:rPr>
                          <w:t> </w:t>
                        </w:r>
                        <w:r>
                          <w:rPr>
                            <w:b/>
                            <w:color w:val="333333"/>
                            <w:spacing w:val="-6"/>
                            <w:sz w:val="15"/>
                          </w:rPr>
                          <w:t>Attended/</w:t>
                        </w:r>
                        <w:r>
                          <w:rPr>
                            <w:b/>
                            <w:color w:val="333333"/>
                            <w:spacing w:val="-1"/>
                            <w:sz w:val="15"/>
                          </w:rPr>
                          <w:t> </w:t>
                        </w:r>
                        <w:r>
                          <w:rPr>
                            <w:b/>
                            <w:color w:val="333333"/>
                            <w:spacing w:val="-6"/>
                            <w:sz w:val="15"/>
                          </w:rPr>
                          <w:t>Total</w:t>
                        </w:r>
                        <w:r>
                          <w:rPr>
                            <w:b/>
                            <w:color w:val="333333"/>
                            <w:spacing w:val="-1"/>
                            <w:sz w:val="15"/>
                          </w:rPr>
                          <w:t> </w:t>
                        </w:r>
                        <w:r>
                          <w:rPr>
                            <w:b/>
                            <w:color w:val="333333"/>
                            <w:spacing w:val="-6"/>
                            <w:sz w:val="15"/>
                          </w:rPr>
                          <w:t>Meetings</w:t>
                        </w:r>
                        <w:r>
                          <w:rPr>
                            <w:b/>
                            <w:color w:val="333333"/>
                            <w:sz w:val="15"/>
                          </w:rPr>
                          <w:t> </w:t>
                        </w:r>
                        <w:r>
                          <w:rPr>
                            <w:b/>
                            <w:color w:val="333333"/>
                            <w:spacing w:val="-6"/>
                            <w:sz w:val="15"/>
                          </w:rPr>
                          <w:t>Held</w:t>
                        </w:r>
                      </w:p>
                    </w:txbxContent>
                  </v:textbox>
                  <v:stroke dashstyle="solid"/>
                  <w10:wrap type="none"/>
                </v:shape>
                <v:shape style="position:absolute;left:1357;top:326;width:2445;height:585" type="#_x0000_t202" id="docshape5" filled="false" stroked="true" strokeweight=".75pt" strokecolor="#dddddd">
                  <v:textbox inset="0,0,0,0">
                    <w:txbxContent>
                      <w:p>
                        <w:pPr>
                          <w:spacing w:before="86"/>
                          <w:ind w:left="75" w:right="0" w:firstLine="0"/>
                          <w:jc w:val="left"/>
                          <w:rPr>
                            <w:b/>
                            <w:sz w:val="15"/>
                          </w:rPr>
                        </w:pPr>
                        <w:r>
                          <w:rPr>
                            <w:b/>
                            <w:color w:val="333333"/>
                            <w:spacing w:val="-4"/>
                            <w:sz w:val="15"/>
                          </w:rPr>
                          <w:t>Name</w:t>
                        </w:r>
                        <w:r>
                          <w:rPr>
                            <w:b/>
                            <w:color w:val="333333"/>
                            <w:spacing w:val="-7"/>
                            <w:sz w:val="15"/>
                          </w:rPr>
                          <w:t> </w:t>
                        </w:r>
                        <w:r>
                          <w:rPr>
                            <w:b/>
                            <w:color w:val="333333"/>
                            <w:spacing w:val="-4"/>
                            <w:sz w:val="15"/>
                          </w:rPr>
                          <w:t>of</w:t>
                        </w:r>
                        <w:r>
                          <w:rPr>
                            <w:b/>
                            <w:color w:val="333333"/>
                            <w:spacing w:val="-6"/>
                            <w:sz w:val="15"/>
                          </w:rPr>
                          <w:t> </w:t>
                        </w:r>
                        <w:r>
                          <w:rPr>
                            <w:b/>
                            <w:color w:val="333333"/>
                            <w:spacing w:val="-4"/>
                            <w:sz w:val="15"/>
                          </w:rPr>
                          <w:t>Directors</w:t>
                        </w:r>
                      </w:p>
                    </w:txbxContent>
                  </v:textbox>
                  <v:stroke dashstyle="solid"/>
                  <w10:wrap type="none"/>
                </v:shape>
                <w10:wrap type="topAndBottom"/>
              </v:group>
            </w:pict>
          </mc:Fallback>
        </mc:AlternateContent>
      </w:r>
    </w:p>
    <w:p>
      <w:pPr>
        <w:pStyle w:val="BodyText"/>
        <w:spacing w:after="0"/>
        <w:rPr>
          <w:sz w:val="20"/>
        </w:rPr>
        <w:sectPr>
          <w:pgSz w:w="12240" w:h="15840"/>
          <w:pgMar w:top="1360" w:bottom="280" w:left="1080" w:right="1440"/>
        </w:sectPr>
      </w:pPr>
    </w:p>
    <w:tbl>
      <w:tblPr>
        <w:tblW w:w="0" w:type="auto"/>
        <w:jc w:val="left"/>
        <w:tblInd w:w="284"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2445"/>
        <w:gridCol w:w="6360"/>
      </w:tblGrid>
      <w:tr>
        <w:trPr>
          <w:trHeight w:val="569" w:hRule="atLeast"/>
        </w:trPr>
        <w:tc>
          <w:tcPr>
            <w:tcW w:w="2445" w:type="dxa"/>
          </w:tcPr>
          <w:p>
            <w:pPr>
              <w:pStyle w:val="TableParagraph"/>
              <w:tabs>
                <w:tab w:pos="1263" w:val="left" w:leader="none"/>
              </w:tabs>
              <w:spacing w:before="86"/>
              <w:ind w:left="82"/>
              <w:rPr>
                <w:rFonts w:ascii="Times New Roman"/>
                <w:sz w:val="15"/>
              </w:rPr>
            </w:pPr>
            <w:r>
              <w:rPr>
                <w:color w:val="333333"/>
                <w:spacing w:val="-5"/>
                <w:w w:val="110"/>
                <w:sz w:val="15"/>
              </w:rPr>
              <w:t>Ms.</w:t>
            </w:r>
            <w:r>
              <w:rPr>
                <w:rFonts w:ascii="Times New Roman"/>
                <w:color w:val="333333"/>
                <w:sz w:val="15"/>
                <w:u w:val="single" w:color="323232"/>
              </w:rPr>
              <w:tab/>
            </w:r>
          </w:p>
        </w:tc>
        <w:tc>
          <w:tcPr>
            <w:tcW w:w="6360" w:type="dxa"/>
          </w:tcPr>
          <w:p>
            <w:pPr>
              <w:pStyle w:val="TableParagraph"/>
              <w:spacing w:before="86"/>
              <w:ind w:left="82"/>
              <w:rPr>
                <w:sz w:val="15"/>
              </w:rPr>
            </w:pPr>
            <w:r>
              <w:rPr>
                <w:color w:val="333333"/>
                <w:sz w:val="15"/>
              </w:rPr>
              <w:t>XX</w:t>
            </w:r>
            <w:r>
              <w:rPr>
                <w:color w:val="333333"/>
                <w:spacing w:val="-6"/>
                <w:sz w:val="15"/>
              </w:rPr>
              <w:t> </w:t>
            </w:r>
            <w:r>
              <w:rPr>
                <w:color w:val="333333"/>
                <w:sz w:val="15"/>
              </w:rPr>
              <w:t>/</w:t>
            </w:r>
            <w:r>
              <w:rPr>
                <w:color w:val="333333"/>
                <w:spacing w:val="-5"/>
                <w:sz w:val="15"/>
              </w:rPr>
              <w:t> XX</w:t>
            </w:r>
          </w:p>
        </w:tc>
      </w:tr>
      <w:tr>
        <w:trPr>
          <w:trHeight w:val="584" w:hRule="atLeast"/>
        </w:trPr>
        <w:tc>
          <w:tcPr>
            <w:tcW w:w="2445" w:type="dxa"/>
          </w:tcPr>
          <w:p>
            <w:pPr>
              <w:pStyle w:val="TableParagraph"/>
              <w:tabs>
                <w:tab w:pos="1263" w:val="left" w:leader="none"/>
              </w:tabs>
              <w:spacing w:before="95"/>
              <w:ind w:left="82"/>
              <w:rPr>
                <w:rFonts w:ascii="Times New Roman"/>
                <w:sz w:val="15"/>
              </w:rPr>
            </w:pPr>
            <w:r>
              <w:rPr>
                <w:color w:val="333333"/>
                <w:spacing w:val="-5"/>
                <w:w w:val="110"/>
                <w:sz w:val="15"/>
              </w:rPr>
              <w:t>Ms.</w:t>
            </w:r>
            <w:r>
              <w:rPr>
                <w:rFonts w:ascii="Times New Roman"/>
                <w:color w:val="333333"/>
                <w:sz w:val="15"/>
                <w:u w:val="single" w:color="323232"/>
              </w:rPr>
              <w:tab/>
            </w:r>
          </w:p>
        </w:tc>
        <w:tc>
          <w:tcPr>
            <w:tcW w:w="6360" w:type="dxa"/>
          </w:tcPr>
          <w:p>
            <w:pPr>
              <w:pStyle w:val="TableParagraph"/>
              <w:spacing w:before="95"/>
              <w:ind w:left="82"/>
              <w:rPr>
                <w:sz w:val="15"/>
              </w:rPr>
            </w:pPr>
            <w:r>
              <w:rPr>
                <w:color w:val="333333"/>
                <w:sz w:val="15"/>
              </w:rPr>
              <w:t>XX</w:t>
            </w:r>
            <w:r>
              <w:rPr>
                <w:color w:val="333333"/>
                <w:spacing w:val="-6"/>
                <w:sz w:val="15"/>
              </w:rPr>
              <w:t> </w:t>
            </w:r>
            <w:r>
              <w:rPr>
                <w:color w:val="333333"/>
                <w:sz w:val="15"/>
              </w:rPr>
              <w:t>/</w:t>
            </w:r>
            <w:r>
              <w:rPr>
                <w:color w:val="333333"/>
                <w:spacing w:val="-5"/>
                <w:sz w:val="15"/>
              </w:rPr>
              <w:t> XX</w:t>
            </w:r>
          </w:p>
        </w:tc>
      </w:tr>
    </w:tbl>
    <w:p>
      <w:pPr>
        <w:pStyle w:val="Heading1"/>
        <w:spacing w:before="25"/>
      </w:pPr>
      <w:r>
        <w:rPr>
          <w:color w:val="111111"/>
        </w:rPr>
        <w:t>Board’s</w:t>
      </w:r>
      <w:r>
        <w:rPr>
          <w:color w:val="111111"/>
          <w:spacing w:val="-6"/>
        </w:rPr>
        <w:t> </w:t>
      </w:r>
      <w:r>
        <w:rPr>
          <w:color w:val="111111"/>
        </w:rPr>
        <w:t>Comment</w:t>
      </w:r>
      <w:r>
        <w:rPr>
          <w:color w:val="111111"/>
          <w:spacing w:val="-4"/>
        </w:rPr>
        <w:t> </w:t>
      </w:r>
      <w:r>
        <w:rPr>
          <w:color w:val="111111"/>
        </w:rPr>
        <w:t>on</w:t>
      </w:r>
      <w:r>
        <w:rPr>
          <w:color w:val="111111"/>
          <w:spacing w:val="-4"/>
        </w:rPr>
        <w:t> </w:t>
      </w:r>
      <w:r>
        <w:rPr>
          <w:color w:val="111111"/>
        </w:rPr>
        <w:t>Auditor’s</w:t>
      </w:r>
      <w:r>
        <w:rPr>
          <w:color w:val="111111"/>
          <w:spacing w:val="-3"/>
        </w:rPr>
        <w:t> </w:t>
      </w:r>
      <w:r>
        <w:rPr>
          <w:color w:val="111111"/>
          <w:spacing w:val="-2"/>
        </w:rPr>
        <w:t>Report</w:t>
      </w:r>
    </w:p>
    <w:p>
      <w:pPr>
        <w:pStyle w:val="BodyText"/>
        <w:spacing w:line="249" w:lineRule="auto"/>
        <w:ind w:left="359"/>
      </w:pPr>
      <w:r>
        <w:rPr>
          <w:color w:val="696F6F"/>
        </w:rPr>
        <w:t>The observations of the Statutory Auditors, when read together with the relevant notes to the accounts and accounting policies are self explanatory and do not call for any further comment.</w:t>
      </w:r>
    </w:p>
    <w:p>
      <w:pPr>
        <w:pStyle w:val="BodyText"/>
        <w:spacing w:before="139"/>
      </w:pPr>
    </w:p>
    <w:p>
      <w:pPr>
        <w:pStyle w:val="Heading2"/>
      </w:pPr>
      <w:r>
        <w:rPr>
          <w:color w:val="FF0000"/>
        </w:rPr>
        <w:t>In</w:t>
      </w:r>
      <w:r>
        <w:rPr>
          <w:color w:val="FF0000"/>
          <w:spacing w:val="-1"/>
        </w:rPr>
        <w:t> </w:t>
      </w:r>
      <w:r>
        <w:rPr>
          <w:color w:val="FF0000"/>
        </w:rPr>
        <w:t>case</w:t>
      </w:r>
      <w:r>
        <w:rPr>
          <w:color w:val="FF0000"/>
          <w:spacing w:val="-1"/>
        </w:rPr>
        <w:t> </w:t>
      </w:r>
      <w:r>
        <w:rPr>
          <w:color w:val="FF0000"/>
        </w:rPr>
        <w:t>of</w:t>
      </w:r>
      <w:r>
        <w:rPr>
          <w:color w:val="FF0000"/>
          <w:spacing w:val="-1"/>
        </w:rPr>
        <w:t> </w:t>
      </w:r>
      <w:r>
        <w:rPr>
          <w:color w:val="FF0000"/>
        </w:rPr>
        <w:t>Adverse</w:t>
      </w:r>
      <w:r>
        <w:rPr>
          <w:color w:val="FF0000"/>
          <w:spacing w:val="-1"/>
        </w:rPr>
        <w:t> </w:t>
      </w:r>
      <w:r>
        <w:rPr>
          <w:color w:val="FF0000"/>
        </w:rPr>
        <w:t>Remark</w:t>
      </w:r>
      <w:r>
        <w:rPr>
          <w:color w:val="FF0000"/>
          <w:spacing w:val="-1"/>
        </w:rPr>
        <w:t> </w:t>
      </w:r>
      <w:r>
        <w:rPr>
          <w:color w:val="FF0000"/>
        </w:rPr>
        <w:t>or</w:t>
      </w:r>
      <w:r>
        <w:rPr>
          <w:color w:val="FF0000"/>
          <w:spacing w:val="-1"/>
        </w:rPr>
        <w:t> </w:t>
      </w:r>
      <w:r>
        <w:rPr>
          <w:color w:val="FF0000"/>
        </w:rPr>
        <w:t>Qualified</w:t>
      </w:r>
      <w:r>
        <w:rPr>
          <w:color w:val="FF0000"/>
          <w:spacing w:val="-1"/>
        </w:rPr>
        <w:t> </w:t>
      </w:r>
      <w:r>
        <w:rPr>
          <w:color w:val="FF0000"/>
          <w:spacing w:val="-2"/>
        </w:rPr>
        <w:t>Report</w:t>
      </w:r>
    </w:p>
    <w:p>
      <w:pPr>
        <w:pStyle w:val="BodyText"/>
        <w:spacing w:line="249" w:lineRule="auto"/>
        <w:ind w:left="359"/>
      </w:pPr>
      <w:r>
        <w:rPr>
          <w:color w:val="696F6F"/>
        </w:rPr>
        <w:t>(Explanation</w:t>
      </w:r>
      <w:r>
        <w:rPr>
          <w:color w:val="696F6F"/>
          <w:spacing w:val="-1"/>
        </w:rPr>
        <w:t> </w:t>
      </w:r>
      <w:r>
        <w:rPr>
          <w:color w:val="696F6F"/>
        </w:rPr>
        <w:t>or</w:t>
      </w:r>
      <w:r>
        <w:rPr>
          <w:color w:val="696F6F"/>
          <w:spacing w:val="-1"/>
        </w:rPr>
        <w:t> </w:t>
      </w:r>
      <w:r>
        <w:rPr>
          <w:color w:val="696F6F"/>
        </w:rPr>
        <w:t>comment</w:t>
      </w:r>
      <w:r>
        <w:rPr>
          <w:color w:val="696F6F"/>
          <w:spacing w:val="-1"/>
        </w:rPr>
        <w:t> </w:t>
      </w:r>
      <w:r>
        <w:rPr>
          <w:color w:val="696F6F"/>
        </w:rPr>
        <w:t>by</w:t>
      </w:r>
      <w:r>
        <w:rPr>
          <w:color w:val="696F6F"/>
          <w:spacing w:val="-1"/>
        </w:rPr>
        <w:t> </w:t>
      </w:r>
      <w:r>
        <w:rPr>
          <w:color w:val="696F6F"/>
        </w:rPr>
        <w:t>the</w:t>
      </w:r>
      <w:r>
        <w:rPr>
          <w:color w:val="696F6F"/>
          <w:spacing w:val="-1"/>
        </w:rPr>
        <w:t> </w:t>
      </w:r>
      <w:r>
        <w:rPr>
          <w:color w:val="696F6F"/>
        </w:rPr>
        <w:t>Board</w:t>
      </w:r>
      <w:r>
        <w:rPr>
          <w:color w:val="696F6F"/>
          <w:spacing w:val="-1"/>
        </w:rPr>
        <w:t> </w:t>
      </w:r>
      <w:r>
        <w:rPr>
          <w:color w:val="696F6F"/>
        </w:rPr>
        <w:t>on</w:t>
      </w:r>
      <w:r>
        <w:rPr>
          <w:color w:val="696F6F"/>
          <w:spacing w:val="-1"/>
        </w:rPr>
        <w:t> </w:t>
      </w:r>
      <w:r>
        <w:rPr>
          <w:color w:val="696F6F"/>
        </w:rPr>
        <w:t>every</w:t>
      </w:r>
      <w:r>
        <w:rPr>
          <w:color w:val="696F6F"/>
          <w:spacing w:val="-1"/>
        </w:rPr>
        <w:t> </w:t>
      </w:r>
      <w:r>
        <w:rPr>
          <w:color w:val="696F6F"/>
        </w:rPr>
        <w:t>qualification,</w:t>
      </w:r>
      <w:r>
        <w:rPr>
          <w:color w:val="696F6F"/>
          <w:spacing w:val="-1"/>
        </w:rPr>
        <w:t> </w:t>
      </w:r>
      <w:r>
        <w:rPr>
          <w:color w:val="696F6F"/>
        </w:rPr>
        <w:t>reservation,</w:t>
      </w:r>
      <w:r>
        <w:rPr>
          <w:color w:val="696F6F"/>
          <w:spacing w:val="-1"/>
        </w:rPr>
        <w:t> </w:t>
      </w:r>
      <w:r>
        <w:rPr>
          <w:color w:val="696F6F"/>
        </w:rPr>
        <w:t>adverse</w:t>
      </w:r>
      <w:r>
        <w:rPr>
          <w:color w:val="696F6F"/>
          <w:spacing w:val="-1"/>
        </w:rPr>
        <w:t> </w:t>
      </w:r>
      <w:r>
        <w:rPr>
          <w:color w:val="696F6F"/>
        </w:rPr>
        <w:t>remark</w:t>
      </w:r>
      <w:r>
        <w:rPr>
          <w:color w:val="696F6F"/>
          <w:spacing w:val="-1"/>
        </w:rPr>
        <w:t> </w:t>
      </w:r>
      <w:r>
        <w:rPr>
          <w:color w:val="696F6F"/>
        </w:rPr>
        <w:t>or</w:t>
      </w:r>
      <w:r>
        <w:rPr>
          <w:color w:val="696F6F"/>
          <w:spacing w:val="-1"/>
        </w:rPr>
        <w:t> </w:t>
      </w:r>
      <w:r>
        <w:rPr>
          <w:color w:val="696F6F"/>
        </w:rPr>
        <w:t>disclaimer</w:t>
      </w:r>
      <w:r>
        <w:rPr>
          <w:color w:val="696F6F"/>
          <w:spacing w:val="-1"/>
        </w:rPr>
        <w:t> </w:t>
      </w:r>
      <w:r>
        <w:rPr>
          <w:color w:val="696F6F"/>
        </w:rPr>
        <w:t>made</w:t>
      </w:r>
      <w:r>
        <w:rPr>
          <w:color w:val="696F6F"/>
          <w:spacing w:val="-1"/>
        </w:rPr>
        <w:t> </w:t>
      </w:r>
      <w:r>
        <w:rPr>
          <w:color w:val="696F6F"/>
        </w:rPr>
        <w:t>by</w:t>
      </w:r>
      <w:r>
        <w:rPr>
          <w:color w:val="696F6F"/>
          <w:spacing w:val="-1"/>
        </w:rPr>
        <w:t> </w:t>
      </w:r>
      <w:r>
        <w:rPr>
          <w:color w:val="696F6F"/>
        </w:rPr>
        <w:t>the</w:t>
      </w:r>
      <w:r>
        <w:rPr>
          <w:color w:val="696F6F"/>
          <w:spacing w:val="-1"/>
        </w:rPr>
        <w:t> </w:t>
      </w:r>
      <w:r>
        <w:rPr>
          <w:color w:val="696F6F"/>
        </w:rPr>
        <w:t>statutory</w:t>
      </w:r>
      <w:r>
        <w:rPr>
          <w:color w:val="696F6F"/>
          <w:spacing w:val="-1"/>
        </w:rPr>
        <w:t> </w:t>
      </w:r>
      <w:r>
        <w:rPr>
          <w:color w:val="696F6F"/>
        </w:rPr>
        <w:t>auditor</w:t>
      </w:r>
      <w:r>
        <w:rPr>
          <w:color w:val="696F6F"/>
          <w:spacing w:val="-1"/>
        </w:rPr>
        <w:t> </w:t>
      </w:r>
      <w:r>
        <w:rPr>
          <w:color w:val="696F6F"/>
        </w:rPr>
        <w:t>in</w:t>
      </w:r>
      <w:r>
        <w:rPr>
          <w:color w:val="696F6F"/>
          <w:spacing w:val="-1"/>
        </w:rPr>
        <w:t> </w:t>
      </w:r>
      <w:r>
        <w:rPr>
          <w:color w:val="696F6F"/>
        </w:rPr>
        <w:t>his report and/or by the secretarial auditor in the secretarial Audit Report).</w:t>
      </w:r>
    </w:p>
    <w:p>
      <w:pPr>
        <w:pStyle w:val="BodyText"/>
        <w:spacing w:before="139"/>
      </w:pPr>
    </w:p>
    <w:p>
      <w:pPr>
        <w:pStyle w:val="Heading1"/>
        <w:spacing w:before="1"/>
      </w:pPr>
      <w:r>
        <w:rPr>
          <w:color w:val="111111"/>
        </w:rPr>
        <w:t>Statutory</w:t>
      </w:r>
      <w:r>
        <w:rPr>
          <w:color w:val="111111"/>
          <w:spacing w:val="-3"/>
        </w:rPr>
        <w:t> </w:t>
      </w:r>
      <w:r>
        <w:rPr>
          <w:color w:val="111111"/>
          <w:spacing w:val="-2"/>
        </w:rPr>
        <w:t>Auditors</w:t>
      </w:r>
    </w:p>
    <w:p>
      <w:pPr>
        <w:pStyle w:val="BodyText"/>
        <w:tabs>
          <w:tab w:pos="2566" w:val="left" w:leader="none"/>
          <w:tab w:pos="5572" w:val="left" w:leader="none"/>
          <w:tab w:pos="7021" w:val="left" w:leader="none"/>
        </w:tabs>
        <w:spacing w:line="249" w:lineRule="auto"/>
        <w:ind w:left="359" w:right="117"/>
      </w:pPr>
      <w:r>
        <w:rPr>
          <w:color w:val="696F6F"/>
        </w:rPr>
        <w:t>The Auditors, M/s.</w:t>
      </w:r>
      <w:r>
        <w:rPr>
          <w:rFonts w:ascii="Times New Roman"/>
          <w:color w:val="696F6F"/>
          <w:u w:val="single" w:color="686E6E"/>
        </w:rPr>
        <w:tab/>
      </w:r>
      <w:r>
        <w:rPr>
          <w:color w:val="696F6F"/>
        </w:rPr>
        <w:t>, Chartered Accountants, Firm Registration No. </w:t>
      </w:r>
      <w:r>
        <w:rPr>
          <w:rFonts w:ascii="Times New Roman"/>
          <w:color w:val="696F6F"/>
          <w:u w:val="single" w:color="686E6E"/>
        </w:rPr>
        <w:tab/>
      </w:r>
      <w:r>
        <w:rPr>
          <w:color w:val="696F6F"/>
        </w:rPr>
        <w:t>,</w:t>
      </w:r>
      <w:r>
        <w:rPr>
          <w:color w:val="696F6F"/>
          <w:spacing w:val="-4"/>
        </w:rPr>
        <w:t> </w:t>
      </w:r>
      <w:r>
        <w:rPr>
          <w:color w:val="696F6F"/>
        </w:rPr>
        <w:t>hold</w:t>
      </w:r>
      <w:r>
        <w:rPr>
          <w:color w:val="696F6F"/>
          <w:spacing w:val="-4"/>
        </w:rPr>
        <w:t> </w:t>
      </w:r>
      <w:r>
        <w:rPr>
          <w:color w:val="696F6F"/>
        </w:rPr>
        <w:t>office</w:t>
      </w:r>
      <w:r>
        <w:rPr>
          <w:color w:val="696F6F"/>
          <w:spacing w:val="-4"/>
        </w:rPr>
        <w:t> </w:t>
      </w:r>
      <w:r>
        <w:rPr>
          <w:color w:val="696F6F"/>
        </w:rPr>
        <w:t>until</w:t>
      </w:r>
      <w:r>
        <w:rPr>
          <w:color w:val="696F6F"/>
          <w:spacing w:val="-4"/>
        </w:rPr>
        <w:t> </w:t>
      </w:r>
      <w:r>
        <w:rPr>
          <w:color w:val="696F6F"/>
        </w:rPr>
        <w:t>the</w:t>
      </w:r>
      <w:r>
        <w:rPr>
          <w:color w:val="696F6F"/>
          <w:spacing w:val="-4"/>
        </w:rPr>
        <w:t> </w:t>
      </w:r>
      <w:r>
        <w:rPr>
          <w:color w:val="696F6F"/>
        </w:rPr>
        <w:t>conclusion</w:t>
      </w:r>
      <w:r>
        <w:rPr>
          <w:color w:val="696F6F"/>
          <w:spacing w:val="-4"/>
        </w:rPr>
        <w:t> </w:t>
      </w:r>
      <w:r>
        <w:rPr>
          <w:color w:val="696F6F"/>
        </w:rPr>
        <w:t>of</w:t>
      </w:r>
      <w:r>
        <w:rPr>
          <w:color w:val="696F6F"/>
          <w:spacing w:val="-4"/>
        </w:rPr>
        <w:t> </w:t>
      </w:r>
      <w:r>
        <w:rPr>
          <w:color w:val="696F6F"/>
        </w:rPr>
        <w:t>this </w:t>
      </w:r>
      <w:r>
        <w:rPr>
          <w:color w:val="696F6F"/>
          <w:w w:val="105"/>
        </w:rPr>
        <w:t>Annual General Meeting. The Directors recommended that M/s.</w:t>
      </w:r>
      <w:r>
        <w:rPr>
          <w:rFonts w:ascii="Times New Roman"/>
          <w:color w:val="696F6F"/>
          <w:u w:val="single" w:color="686E6E"/>
        </w:rPr>
        <w:tab/>
      </w:r>
      <w:r>
        <w:rPr>
          <w:color w:val="696F6F"/>
          <w:w w:val="105"/>
        </w:rPr>
        <w:t>, Chartered Accountants, Firm Registration No.</w:t>
      </w:r>
    </w:p>
    <w:p>
      <w:pPr>
        <w:pStyle w:val="BodyText"/>
        <w:tabs>
          <w:tab w:pos="1634" w:val="left" w:leader="none"/>
        </w:tabs>
        <w:spacing w:line="249" w:lineRule="auto" w:before="1"/>
        <w:ind w:left="359" w:right="300"/>
      </w:pPr>
      <w:r>
        <w:rPr>
          <w:rFonts w:ascii="Times New Roman"/>
          <w:color w:val="696F6F"/>
          <w:u w:val="single" w:color="686E6E"/>
        </w:rPr>
        <w:tab/>
      </w:r>
      <w:r>
        <w:rPr>
          <w:color w:val="696F6F"/>
        </w:rPr>
        <w:t>, be ratified as the Statutory Auditors of the Company at the forthcoming Annual General Meeting of the Company to hold office till the conclusion of the next Annual General Meeting of the Company.</w:t>
      </w:r>
    </w:p>
    <w:p>
      <w:pPr>
        <w:pStyle w:val="BodyText"/>
        <w:spacing w:before="139"/>
      </w:pPr>
    </w:p>
    <w:p>
      <w:pPr>
        <w:pStyle w:val="Heading1"/>
        <w:spacing w:before="1"/>
      </w:pPr>
      <w:r>
        <w:rPr>
          <w:color w:val="111111"/>
        </w:rPr>
        <w:t>Loans</w:t>
      </w:r>
      <w:r>
        <w:rPr>
          <w:color w:val="111111"/>
          <w:spacing w:val="-1"/>
        </w:rPr>
        <w:t> </w:t>
      </w:r>
      <w:r>
        <w:rPr>
          <w:color w:val="111111"/>
        </w:rPr>
        <w:t>and</w:t>
      </w:r>
      <w:r>
        <w:rPr>
          <w:color w:val="111111"/>
          <w:spacing w:val="-1"/>
        </w:rPr>
        <w:t> </w:t>
      </w:r>
      <w:r>
        <w:rPr>
          <w:color w:val="111111"/>
          <w:spacing w:val="-2"/>
        </w:rPr>
        <w:t>Investment</w:t>
      </w:r>
    </w:p>
    <w:p>
      <w:pPr>
        <w:pStyle w:val="BodyText"/>
        <w:spacing w:line="249" w:lineRule="auto" w:before="100"/>
        <w:ind w:left="359"/>
      </w:pPr>
      <w:r>
        <w:rPr>
          <w:color w:val="696F6F"/>
        </w:rPr>
        <w:t>The</w:t>
      </w:r>
      <w:r>
        <w:rPr>
          <w:color w:val="696F6F"/>
          <w:spacing w:val="-2"/>
        </w:rPr>
        <w:t> </w:t>
      </w:r>
      <w:r>
        <w:rPr>
          <w:color w:val="696F6F"/>
        </w:rPr>
        <w:t>Company</w:t>
      </w:r>
      <w:r>
        <w:rPr>
          <w:color w:val="696F6F"/>
          <w:spacing w:val="-2"/>
        </w:rPr>
        <w:t> </w:t>
      </w:r>
      <w:r>
        <w:rPr>
          <w:color w:val="696F6F"/>
        </w:rPr>
        <w:t>has</w:t>
      </w:r>
      <w:r>
        <w:rPr>
          <w:color w:val="696F6F"/>
          <w:spacing w:val="-2"/>
        </w:rPr>
        <w:t> </w:t>
      </w:r>
      <w:r>
        <w:rPr>
          <w:color w:val="696F6F"/>
        </w:rPr>
        <w:t>not</w:t>
      </w:r>
      <w:r>
        <w:rPr>
          <w:color w:val="696F6F"/>
          <w:spacing w:val="-2"/>
        </w:rPr>
        <w:t> </w:t>
      </w:r>
      <w:r>
        <w:rPr>
          <w:color w:val="696F6F"/>
        </w:rPr>
        <w:t>made</w:t>
      </w:r>
      <w:r>
        <w:rPr>
          <w:color w:val="696F6F"/>
          <w:spacing w:val="-2"/>
        </w:rPr>
        <w:t> </w:t>
      </w:r>
      <w:r>
        <w:rPr>
          <w:color w:val="696F6F"/>
        </w:rPr>
        <w:t>any</w:t>
      </w:r>
      <w:r>
        <w:rPr>
          <w:color w:val="696F6F"/>
          <w:spacing w:val="-2"/>
        </w:rPr>
        <w:t> </w:t>
      </w:r>
      <w:r>
        <w:rPr>
          <w:color w:val="696F6F"/>
        </w:rPr>
        <w:t>investment,</w:t>
      </w:r>
      <w:r>
        <w:rPr>
          <w:color w:val="696F6F"/>
          <w:spacing w:val="-2"/>
        </w:rPr>
        <w:t> </w:t>
      </w:r>
      <w:r>
        <w:rPr>
          <w:color w:val="696F6F"/>
        </w:rPr>
        <w:t>given</w:t>
      </w:r>
      <w:r>
        <w:rPr>
          <w:color w:val="696F6F"/>
          <w:spacing w:val="-2"/>
        </w:rPr>
        <w:t> </w:t>
      </w:r>
      <w:r>
        <w:rPr>
          <w:color w:val="696F6F"/>
        </w:rPr>
        <w:t>guarantee</w:t>
      </w:r>
      <w:r>
        <w:rPr>
          <w:color w:val="696F6F"/>
          <w:spacing w:val="-2"/>
        </w:rPr>
        <w:t> </w:t>
      </w:r>
      <w:r>
        <w:rPr>
          <w:color w:val="696F6F"/>
        </w:rPr>
        <w:t>and</w:t>
      </w:r>
      <w:r>
        <w:rPr>
          <w:color w:val="696F6F"/>
          <w:spacing w:val="-2"/>
        </w:rPr>
        <w:t> </w:t>
      </w:r>
      <w:r>
        <w:rPr>
          <w:color w:val="696F6F"/>
        </w:rPr>
        <w:t>securities</w:t>
      </w:r>
      <w:r>
        <w:rPr>
          <w:color w:val="696F6F"/>
          <w:spacing w:val="-2"/>
        </w:rPr>
        <w:t> </w:t>
      </w:r>
      <w:r>
        <w:rPr>
          <w:color w:val="696F6F"/>
        </w:rPr>
        <w:t>during</w:t>
      </w:r>
      <w:r>
        <w:rPr>
          <w:color w:val="696F6F"/>
          <w:spacing w:val="-2"/>
        </w:rPr>
        <w:t> </w:t>
      </w:r>
      <w:r>
        <w:rPr>
          <w:color w:val="696F6F"/>
        </w:rPr>
        <w:t>the</w:t>
      </w:r>
      <w:r>
        <w:rPr>
          <w:color w:val="696F6F"/>
          <w:spacing w:val="-2"/>
        </w:rPr>
        <w:t> </w:t>
      </w:r>
      <w:r>
        <w:rPr>
          <w:color w:val="696F6F"/>
        </w:rPr>
        <w:t>year</w:t>
      </w:r>
      <w:r>
        <w:rPr>
          <w:color w:val="696F6F"/>
          <w:spacing w:val="-2"/>
        </w:rPr>
        <w:t> </w:t>
      </w:r>
      <w:r>
        <w:rPr>
          <w:color w:val="696F6F"/>
        </w:rPr>
        <w:t>under</w:t>
      </w:r>
      <w:r>
        <w:rPr>
          <w:color w:val="696F6F"/>
          <w:spacing w:val="-2"/>
        </w:rPr>
        <w:t> </w:t>
      </w:r>
      <w:r>
        <w:rPr>
          <w:color w:val="696F6F"/>
        </w:rPr>
        <w:t>review.</w:t>
      </w:r>
      <w:r>
        <w:rPr>
          <w:color w:val="696F6F"/>
          <w:spacing w:val="-2"/>
        </w:rPr>
        <w:t> </w:t>
      </w:r>
      <w:r>
        <w:rPr>
          <w:color w:val="696F6F"/>
        </w:rPr>
        <w:t>There</w:t>
      </w:r>
      <w:r>
        <w:rPr>
          <w:color w:val="696F6F"/>
          <w:spacing w:val="-2"/>
        </w:rPr>
        <w:t> </w:t>
      </w:r>
      <w:r>
        <w:rPr>
          <w:color w:val="696F6F"/>
        </w:rPr>
        <w:t>for</w:t>
      </w:r>
      <w:r>
        <w:rPr>
          <w:color w:val="696F6F"/>
          <w:spacing w:val="-2"/>
        </w:rPr>
        <w:t> </w:t>
      </w:r>
      <w:r>
        <w:rPr>
          <w:color w:val="696F6F"/>
        </w:rPr>
        <w:t>no</w:t>
      </w:r>
      <w:r>
        <w:rPr>
          <w:color w:val="696F6F"/>
          <w:spacing w:val="-2"/>
        </w:rPr>
        <w:t> </w:t>
      </w:r>
      <w:r>
        <w:rPr>
          <w:color w:val="696F6F"/>
        </w:rPr>
        <w:t>need</w:t>
      </w:r>
      <w:r>
        <w:rPr>
          <w:color w:val="696F6F"/>
          <w:spacing w:val="-2"/>
        </w:rPr>
        <w:t> </w:t>
      </w:r>
      <w:r>
        <w:rPr>
          <w:color w:val="696F6F"/>
        </w:rPr>
        <w:t>to</w:t>
      </w:r>
      <w:r>
        <w:rPr>
          <w:color w:val="696F6F"/>
          <w:spacing w:val="-2"/>
        </w:rPr>
        <w:t> </w:t>
      </w:r>
      <w:r>
        <w:rPr>
          <w:color w:val="696F6F"/>
        </w:rPr>
        <w:t>comply</w:t>
      </w:r>
      <w:r>
        <w:rPr>
          <w:color w:val="696F6F"/>
          <w:spacing w:val="-2"/>
        </w:rPr>
        <w:t> </w:t>
      </w:r>
      <w:r>
        <w:rPr>
          <w:color w:val="696F6F"/>
        </w:rPr>
        <w:t>with provisions of Section 186 of Companies Act, 2013.</w:t>
      </w:r>
    </w:p>
    <w:p>
      <w:pPr>
        <w:pStyle w:val="BodyText"/>
        <w:spacing w:before="140"/>
      </w:pPr>
    </w:p>
    <w:p>
      <w:pPr>
        <w:pStyle w:val="Heading2"/>
      </w:pPr>
      <w:r>
        <w:rPr>
          <w:color w:val="FF0000"/>
        </w:rPr>
        <w:t>In</w:t>
      </w:r>
      <w:r>
        <w:rPr>
          <w:color w:val="FF0000"/>
          <w:spacing w:val="-1"/>
        </w:rPr>
        <w:t> </w:t>
      </w:r>
      <w:r>
        <w:rPr>
          <w:color w:val="FF0000"/>
        </w:rPr>
        <w:t>case</w:t>
      </w:r>
      <w:r>
        <w:rPr>
          <w:color w:val="FF0000"/>
          <w:spacing w:val="-1"/>
        </w:rPr>
        <w:t> </w:t>
      </w:r>
      <w:r>
        <w:rPr>
          <w:color w:val="FF0000"/>
        </w:rPr>
        <w:t>Company</w:t>
      </w:r>
      <w:r>
        <w:rPr>
          <w:color w:val="FF0000"/>
          <w:spacing w:val="-1"/>
        </w:rPr>
        <w:t> </w:t>
      </w:r>
      <w:r>
        <w:rPr>
          <w:color w:val="FF0000"/>
        </w:rPr>
        <w:t>has</w:t>
      </w:r>
      <w:r>
        <w:rPr>
          <w:color w:val="FF0000"/>
          <w:spacing w:val="-1"/>
        </w:rPr>
        <w:t> </w:t>
      </w:r>
      <w:r>
        <w:rPr>
          <w:color w:val="FF0000"/>
        </w:rPr>
        <w:t>Made</w:t>
      </w:r>
      <w:r>
        <w:rPr>
          <w:color w:val="FF0000"/>
          <w:spacing w:val="-1"/>
        </w:rPr>
        <w:t> </w:t>
      </w:r>
      <w:r>
        <w:rPr>
          <w:color w:val="FF0000"/>
        </w:rPr>
        <w:t>Loans</w:t>
      </w:r>
      <w:r>
        <w:rPr>
          <w:color w:val="FF0000"/>
          <w:spacing w:val="-1"/>
        </w:rPr>
        <w:t> </w:t>
      </w:r>
      <w:r>
        <w:rPr>
          <w:color w:val="FF0000"/>
        </w:rPr>
        <w:t>and</w:t>
      </w:r>
      <w:r>
        <w:rPr>
          <w:color w:val="FF0000"/>
          <w:spacing w:val="-1"/>
        </w:rPr>
        <w:t> </w:t>
      </w:r>
      <w:r>
        <w:rPr>
          <w:color w:val="FF0000"/>
          <w:spacing w:val="-2"/>
        </w:rPr>
        <w:t>Investments</w:t>
      </w:r>
    </w:p>
    <w:p>
      <w:pPr>
        <w:pStyle w:val="BodyText"/>
        <w:spacing w:line="249" w:lineRule="auto"/>
        <w:ind w:left="359" w:right="117"/>
      </w:pPr>
      <w:r>
        <w:rPr>
          <w:color w:val="696F6F"/>
        </w:rPr>
        <w:t>Details of Loans, Guarantees and Investments covered under the provisions of Section 186 of the Companies Act, 2013 are given in the notes to the Financial Statements.</w:t>
      </w:r>
    </w:p>
    <w:p>
      <w:pPr>
        <w:pStyle w:val="BodyText"/>
        <w:spacing w:before="139"/>
      </w:pPr>
    </w:p>
    <w:p>
      <w:pPr>
        <w:pStyle w:val="Heading1"/>
      </w:pPr>
      <w:r>
        <w:rPr>
          <w:color w:val="111111"/>
        </w:rPr>
        <w:t>Extract</w:t>
      </w:r>
      <w:r>
        <w:rPr>
          <w:color w:val="111111"/>
          <w:spacing w:val="-1"/>
        </w:rPr>
        <w:t> </w:t>
      </w:r>
      <w:r>
        <w:rPr>
          <w:color w:val="111111"/>
        </w:rPr>
        <w:t>of</w:t>
      </w:r>
      <w:r>
        <w:rPr>
          <w:color w:val="111111"/>
          <w:spacing w:val="-1"/>
        </w:rPr>
        <w:t> </w:t>
      </w:r>
      <w:r>
        <w:rPr>
          <w:color w:val="111111"/>
        </w:rPr>
        <w:t>Annual</w:t>
      </w:r>
      <w:r>
        <w:rPr>
          <w:color w:val="111111"/>
          <w:spacing w:val="-1"/>
        </w:rPr>
        <w:t> </w:t>
      </w:r>
      <w:r>
        <w:rPr>
          <w:color w:val="111111"/>
          <w:spacing w:val="-2"/>
        </w:rPr>
        <w:t>Return</w:t>
      </w:r>
    </w:p>
    <w:p>
      <w:pPr>
        <w:pStyle w:val="BodyText"/>
        <w:spacing w:line="249" w:lineRule="auto"/>
        <w:ind w:left="359" w:right="495"/>
      </w:pPr>
      <w:r>
        <w:rPr>
          <w:color w:val="696F6F"/>
        </w:rPr>
        <w:t>The extract of Annual Return in Form No.MGT-9 as required under Section 92 of the Companies Act, 2013 for the financial year ending March 31, 20XX is annexed and forms part of this report.</w:t>
      </w:r>
    </w:p>
    <w:p>
      <w:pPr>
        <w:pStyle w:val="BodyText"/>
        <w:spacing w:before="140"/>
      </w:pPr>
    </w:p>
    <w:p>
      <w:pPr>
        <w:pStyle w:val="Heading1"/>
      </w:pPr>
      <w:r>
        <w:rPr>
          <w:color w:val="111111"/>
        </w:rPr>
        <w:t>Related</w:t>
      </w:r>
      <w:r>
        <w:rPr>
          <w:color w:val="111111"/>
          <w:spacing w:val="-1"/>
        </w:rPr>
        <w:t> </w:t>
      </w:r>
      <w:r>
        <w:rPr>
          <w:color w:val="111111"/>
        </w:rPr>
        <w:t>Party</w:t>
      </w:r>
      <w:r>
        <w:rPr>
          <w:color w:val="111111"/>
          <w:spacing w:val="-1"/>
        </w:rPr>
        <w:t> </w:t>
      </w:r>
      <w:r>
        <w:rPr>
          <w:color w:val="111111"/>
          <w:spacing w:val="-2"/>
        </w:rPr>
        <w:t>Transactions</w:t>
      </w:r>
    </w:p>
    <w:p>
      <w:pPr>
        <w:pStyle w:val="BodyText"/>
        <w:spacing w:line="249" w:lineRule="auto"/>
        <w:ind w:left="359" w:right="127"/>
      </w:pPr>
      <w:r>
        <w:rPr>
          <w:color w:val="696F6F"/>
        </w:rPr>
        <w:t>All</w:t>
      </w:r>
      <w:r>
        <w:rPr>
          <w:color w:val="696F6F"/>
          <w:spacing w:val="-2"/>
        </w:rPr>
        <w:t> </w:t>
      </w:r>
      <w:r>
        <w:rPr>
          <w:color w:val="696F6F"/>
        </w:rPr>
        <w:t>related</w:t>
      </w:r>
      <w:r>
        <w:rPr>
          <w:color w:val="696F6F"/>
          <w:spacing w:val="-2"/>
        </w:rPr>
        <w:t> </w:t>
      </w:r>
      <w:r>
        <w:rPr>
          <w:color w:val="696F6F"/>
        </w:rPr>
        <w:t>party</w:t>
      </w:r>
      <w:r>
        <w:rPr>
          <w:color w:val="696F6F"/>
          <w:spacing w:val="-2"/>
        </w:rPr>
        <w:t> </w:t>
      </w:r>
      <w:r>
        <w:rPr>
          <w:color w:val="696F6F"/>
        </w:rPr>
        <w:t>transactions</w:t>
      </w:r>
      <w:r>
        <w:rPr>
          <w:color w:val="696F6F"/>
          <w:spacing w:val="-2"/>
        </w:rPr>
        <w:t> </w:t>
      </w:r>
      <w:r>
        <w:rPr>
          <w:color w:val="696F6F"/>
        </w:rPr>
        <w:t>that</w:t>
      </w:r>
      <w:r>
        <w:rPr>
          <w:color w:val="696F6F"/>
          <w:spacing w:val="-2"/>
        </w:rPr>
        <w:t> </w:t>
      </w:r>
      <w:r>
        <w:rPr>
          <w:color w:val="696F6F"/>
        </w:rPr>
        <w:t>were</w:t>
      </w:r>
      <w:r>
        <w:rPr>
          <w:color w:val="696F6F"/>
          <w:spacing w:val="-2"/>
        </w:rPr>
        <w:t> </w:t>
      </w:r>
      <w:r>
        <w:rPr>
          <w:color w:val="696F6F"/>
        </w:rPr>
        <w:t>entered</w:t>
      </w:r>
      <w:r>
        <w:rPr>
          <w:color w:val="696F6F"/>
          <w:spacing w:val="-2"/>
        </w:rPr>
        <w:t> </w:t>
      </w:r>
      <w:r>
        <w:rPr>
          <w:color w:val="696F6F"/>
        </w:rPr>
        <w:t>into</w:t>
      </w:r>
      <w:r>
        <w:rPr>
          <w:color w:val="696F6F"/>
          <w:spacing w:val="-2"/>
        </w:rPr>
        <w:t> </w:t>
      </w:r>
      <w:r>
        <w:rPr>
          <w:color w:val="696F6F"/>
        </w:rPr>
        <w:t>during</w:t>
      </w:r>
      <w:r>
        <w:rPr>
          <w:color w:val="696F6F"/>
          <w:spacing w:val="-2"/>
        </w:rPr>
        <w:t> </w:t>
      </w:r>
      <w:r>
        <w:rPr>
          <w:color w:val="696F6F"/>
        </w:rPr>
        <w:t>the</w:t>
      </w:r>
      <w:r>
        <w:rPr>
          <w:color w:val="696F6F"/>
          <w:spacing w:val="-2"/>
        </w:rPr>
        <w:t> </w:t>
      </w:r>
      <w:r>
        <w:rPr>
          <w:color w:val="696F6F"/>
        </w:rPr>
        <w:t>financial</w:t>
      </w:r>
      <w:r>
        <w:rPr>
          <w:color w:val="696F6F"/>
          <w:spacing w:val="-2"/>
        </w:rPr>
        <w:t> </w:t>
      </w:r>
      <w:r>
        <w:rPr>
          <w:color w:val="696F6F"/>
        </w:rPr>
        <w:t>year</w:t>
      </w:r>
      <w:r>
        <w:rPr>
          <w:color w:val="696F6F"/>
          <w:spacing w:val="-2"/>
        </w:rPr>
        <w:t> </w:t>
      </w:r>
      <w:r>
        <w:rPr>
          <w:color w:val="696F6F"/>
        </w:rPr>
        <w:t>ended</w:t>
      </w:r>
      <w:r>
        <w:rPr>
          <w:color w:val="696F6F"/>
          <w:spacing w:val="-2"/>
        </w:rPr>
        <w:t> </w:t>
      </w:r>
      <w:r>
        <w:rPr>
          <w:color w:val="696F6F"/>
        </w:rPr>
        <w:t>31st</w:t>
      </w:r>
      <w:r>
        <w:rPr>
          <w:color w:val="696F6F"/>
          <w:spacing w:val="-2"/>
        </w:rPr>
        <w:t> </w:t>
      </w:r>
      <w:r>
        <w:rPr>
          <w:color w:val="696F6F"/>
        </w:rPr>
        <w:t>March,</w:t>
      </w:r>
      <w:r>
        <w:rPr>
          <w:color w:val="696F6F"/>
          <w:spacing w:val="-2"/>
        </w:rPr>
        <w:t> </w:t>
      </w:r>
      <w:r>
        <w:rPr>
          <w:color w:val="696F6F"/>
        </w:rPr>
        <w:t>20XX</w:t>
      </w:r>
      <w:r>
        <w:rPr>
          <w:color w:val="696F6F"/>
          <w:spacing w:val="-2"/>
        </w:rPr>
        <w:t> </w:t>
      </w:r>
      <w:r>
        <w:rPr>
          <w:color w:val="696F6F"/>
        </w:rPr>
        <w:t>were</w:t>
      </w:r>
      <w:r>
        <w:rPr>
          <w:color w:val="696F6F"/>
          <w:spacing w:val="-2"/>
        </w:rPr>
        <w:t> </w:t>
      </w:r>
      <w:r>
        <w:rPr>
          <w:color w:val="696F6F"/>
        </w:rPr>
        <w:t>on</w:t>
      </w:r>
      <w:r>
        <w:rPr>
          <w:color w:val="696F6F"/>
          <w:spacing w:val="-2"/>
        </w:rPr>
        <w:t> </w:t>
      </w:r>
      <w:r>
        <w:rPr>
          <w:color w:val="696F6F"/>
        </w:rPr>
        <w:t>an</w:t>
      </w:r>
      <w:r>
        <w:rPr>
          <w:color w:val="696F6F"/>
          <w:spacing w:val="-2"/>
        </w:rPr>
        <w:t> </w:t>
      </w:r>
      <w:r>
        <w:rPr>
          <w:color w:val="696F6F"/>
        </w:rPr>
        <w:t>arm’s</w:t>
      </w:r>
      <w:r>
        <w:rPr>
          <w:color w:val="696F6F"/>
          <w:spacing w:val="-2"/>
        </w:rPr>
        <w:t> </w:t>
      </w:r>
      <w:r>
        <w:rPr>
          <w:color w:val="696F6F"/>
        </w:rPr>
        <w:t>length</w:t>
      </w:r>
      <w:r>
        <w:rPr>
          <w:color w:val="696F6F"/>
          <w:spacing w:val="-2"/>
        </w:rPr>
        <w:t> </w:t>
      </w:r>
      <w:r>
        <w:rPr>
          <w:color w:val="696F6F"/>
        </w:rPr>
        <w:t>basis</w:t>
      </w:r>
      <w:r>
        <w:rPr>
          <w:color w:val="696F6F"/>
          <w:spacing w:val="-2"/>
        </w:rPr>
        <w:t> </w:t>
      </w:r>
      <w:r>
        <w:rPr>
          <w:color w:val="696F6F"/>
        </w:rPr>
        <w:t>and were in the ordinary course of business. Therefore, the provisions of Section 188 of the Companies Act, 2013 were not attracted.</w:t>
      </w:r>
    </w:p>
    <w:p>
      <w:pPr>
        <w:pStyle w:val="BodyText"/>
        <w:spacing w:before="135"/>
      </w:pPr>
    </w:p>
    <w:p>
      <w:pPr>
        <w:pStyle w:val="BodyText"/>
        <w:spacing w:line="249" w:lineRule="auto" w:before="0"/>
        <w:ind w:left="359"/>
      </w:pPr>
      <w:r>
        <w:rPr>
          <w:color w:val="696F6F"/>
        </w:rPr>
        <w:t>Also, there are no materially significant related party transactions during the year under review made by the Company with Promoters, Directors, or other designated persons which may have a potential conflict with the interest of the Company at large. Thus, disclosure in</w:t>
      </w:r>
    </w:p>
    <w:p>
      <w:pPr>
        <w:pStyle w:val="BodyText"/>
        <w:spacing w:line="249" w:lineRule="auto" w:before="2"/>
        <w:ind w:left="359"/>
      </w:pPr>
      <w:r>
        <w:rPr>
          <w:color w:val="696F6F"/>
        </w:rPr>
        <w:t>Form AOC-2 is not required. However, the disclosure of transactions with related party for the year, as per Accounting Standard-18 Related Party Disclosures is given in Note no 24 to the Balance Sheet as on 31st March, 20XX.</w:t>
      </w:r>
    </w:p>
    <w:p>
      <w:pPr>
        <w:pStyle w:val="BodyText"/>
        <w:spacing w:before="139"/>
      </w:pPr>
    </w:p>
    <w:p>
      <w:pPr>
        <w:pStyle w:val="Heading2"/>
      </w:pPr>
      <w:r>
        <w:rPr>
          <w:color w:val="FF0000"/>
        </w:rPr>
        <w:t>In</w:t>
      </w:r>
      <w:r>
        <w:rPr>
          <w:color w:val="FF0000"/>
          <w:spacing w:val="-1"/>
        </w:rPr>
        <w:t> </w:t>
      </w:r>
      <w:r>
        <w:rPr>
          <w:color w:val="FF0000"/>
        </w:rPr>
        <w:t>case</w:t>
      </w:r>
      <w:r>
        <w:rPr>
          <w:color w:val="FF0000"/>
          <w:spacing w:val="-1"/>
        </w:rPr>
        <w:t> </w:t>
      </w:r>
      <w:r>
        <w:rPr>
          <w:color w:val="FF0000"/>
        </w:rPr>
        <w:t>of</w:t>
      </w:r>
      <w:r>
        <w:rPr>
          <w:color w:val="FF0000"/>
          <w:spacing w:val="-1"/>
        </w:rPr>
        <w:t> </w:t>
      </w:r>
      <w:r>
        <w:rPr>
          <w:color w:val="FF0000"/>
        </w:rPr>
        <w:t>existence</w:t>
      </w:r>
      <w:r>
        <w:rPr>
          <w:color w:val="FF0000"/>
          <w:spacing w:val="-1"/>
        </w:rPr>
        <w:t> </w:t>
      </w:r>
      <w:r>
        <w:rPr>
          <w:color w:val="FF0000"/>
        </w:rPr>
        <w:t>of</w:t>
      </w:r>
      <w:r>
        <w:rPr>
          <w:color w:val="FF0000"/>
          <w:spacing w:val="-1"/>
        </w:rPr>
        <w:t> </w:t>
      </w:r>
      <w:r>
        <w:rPr>
          <w:color w:val="FF0000"/>
        </w:rPr>
        <w:t>related</w:t>
      </w:r>
      <w:r>
        <w:rPr>
          <w:color w:val="FF0000"/>
          <w:spacing w:val="-1"/>
        </w:rPr>
        <w:t> </w:t>
      </w:r>
      <w:r>
        <w:rPr>
          <w:color w:val="FF0000"/>
        </w:rPr>
        <w:t>party</w:t>
      </w:r>
      <w:r>
        <w:rPr>
          <w:color w:val="FF0000"/>
          <w:spacing w:val="-1"/>
        </w:rPr>
        <w:t> </w:t>
      </w:r>
      <w:r>
        <w:rPr>
          <w:color w:val="FF0000"/>
          <w:spacing w:val="-2"/>
        </w:rPr>
        <w:t>transactions</w:t>
      </w:r>
    </w:p>
    <w:p>
      <w:pPr>
        <w:pStyle w:val="BodyText"/>
        <w:spacing w:line="249" w:lineRule="auto"/>
        <w:ind w:left="359" w:right="117"/>
      </w:pPr>
      <w:r>
        <w:rPr>
          <w:color w:val="696F6F"/>
        </w:rPr>
        <w:t>The</w:t>
      </w:r>
      <w:r>
        <w:rPr>
          <w:color w:val="696F6F"/>
          <w:spacing w:val="-2"/>
        </w:rPr>
        <w:t> </w:t>
      </w:r>
      <w:r>
        <w:rPr>
          <w:color w:val="696F6F"/>
        </w:rPr>
        <w:t>particulars</w:t>
      </w:r>
      <w:r>
        <w:rPr>
          <w:color w:val="696F6F"/>
          <w:spacing w:val="-2"/>
        </w:rPr>
        <w:t> </w:t>
      </w:r>
      <w:r>
        <w:rPr>
          <w:color w:val="696F6F"/>
        </w:rPr>
        <w:t>of</w:t>
      </w:r>
      <w:r>
        <w:rPr>
          <w:color w:val="696F6F"/>
          <w:spacing w:val="-2"/>
        </w:rPr>
        <w:t> </w:t>
      </w:r>
      <w:r>
        <w:rPr>
          <w:color w:val="696F6F"/>
        </w:rPr>
        <w:t>contracts</w:t>
      </w:r>
      <w:r>
        <w:rPr>
          <w:color w:val="696F6F"/>
          <w:spacing w:val="-2"/>
        </w:rPr>
        <w:t> </w:t>
      </w:r>
      <w:r>
        <w:rPr>
          <w:color w:val="696F6F"/>
        </w:rPr>
        <w:t>or</w:t>
      </w:r>
      <w:r>
        <w:rPr>
          <w:color w:val="696F6F"/>
          <w:spacing w:val="-2"/>
        </w:rPr>
        <w:t> </w:t>
      </w:r>
      <w:r>
        <w:rPr>
          <w:color w:val="696F6F"/>
        </w:rPr>
        <w:t>arrangements</w:t>
      </w:r>
      <w:r>
        <w:rPr>
          <w:color w:val="696F6F"/>
          <w:spacing w:val="-2"/>
        </w:rPr>
        <w:t> </w:t>
      </w:r>
      <w:r>
        <w:rPr>
          <w:color w:val="696F6F"/>
        </w:rPr>
        <w:t>with</w:t>
      </w:r>
      <w:r>
        <w:rPr>
          <w:color w:val="696F6F"/>
          <w:spacing w:val="-2"/>
        </w:rPr>
        <w:t> </w:t>
      </w:r>
      <w:r>
        <w:rPr>
          <w:color w:val="696F6F"/>
        </w:rPr>
        <w:t>related</w:t>
      </w:r>
      <w:r>
        <w:rPr>
          <w:color w:val="696F6F"/>
          <w:spacing w:val="-2"/>
        </w:rPr>
        <w:t> </w:t>
      </w:r>
      <w:r>
        <w:rPr>
          <w:color w:val="696F6F"/>
        </w:rPr>
        <w:t>parties</w:t>
      </w:r>
      <w:r>
        <w:rPr>
          <w:color w:val="696F6F"/>
          <w:spacing w:val="-2"/>
        </w:rPr>
        <w:t> </w:t>
      </w:r>
      <w:r>
        <w:rPr>
          <w:color w:val="696F6F"/>
        </w:rPr>
        <w:t>referred</w:t>
      </w:r>
      <w:r>
        <w:rPr>
          <w:color w:val="696F6F"/>
          <w:spacing w:val="-2"/>
        </w:rPr>
        <w:t> </w:t>
      </w:r>
      <w:r>
        <w:rPr>
          <w:color w:val="696F6F"/>
        </w:rPr>
        <w:t>to</w:t>
      </w:r>
      <w:r>
        <w:rPr>
          <w:color w:val="696F6F"/>
          <w:spacing w:val="-2"/>
        </w:rPr>
        <w:t> </w:t>
      </w:r>
      <w:r>
        <w:rPr>
          <w:color w:val="696F6F"/>
        </w:rPr>
        <w:t>in</w:t>
      </w:r>
      <w:r>
        <w:rPr>
          <w:color w:val="696F6F"/>
          <w:spacing w:val="-2"/>
        </w:rPr>
        <w:t> </w:t>
      </w:r>
      <w:r>
        <w:rPr>
          <w:color w:val="696F6F"/>
        </w:rPr>
        <w:t>sub</w:t>
      </w:r>
      <w:r>
        <w:rPr>
          <w:color w:val="696F6F"/>
          <w:spacing w:val="-2"/>
        </w:rPr>
        <w:t> </w:t>
      </w:r>
      <w:r>
        <w:rPr>
          <w:color w:val="696F6F"/>
        </w:rPr>
        <w:t>section</w:t>
      </w:r>
      <w:r>
        <w:rPr>
          <w:color w:val="696F6F"/>
          <w:spacing w:val="-2"/>
        </w:rPr>
        <w:t> </w:t>
      </w:r>
      <w:r>
        <w:rPr>
          <w:color w:val="696F6F"/>
        </w:rPr>
        <w:t>(1)</w:t>
      </w:r>
      <w:r>
        <w:rPr>
          <w:color w:val="696F6F"/>
          <w:spacing w:val="-2"/>
        </w:rPr>
        <w:t> </w:t>
      </w:r>
      <w:r>
        <w:rPr>
          <w:color w:val="696F6F"/>
        </w:rPr>
        <w:t>of</w:t>
      </w:r>
      <w:r>
        <w:rPr>
          <w:color w:val="696F6F"/>
          <w:spacing w:val="-2"/>
        </w:rPr>
        <w:t> </w:t>
      </w:r>
      <w:r>
        <w:rPr>
          <w:color w:val="696F6F"/>
        </w:rPr>
        <w:t>section</w:t>
      </w:r>
      <w:r>
        <w:rPr>
          <w:color w:val="696F6F"/>
          <w:spacing w:val="-2"/>
        </w:rPr>
        <w:t> </w:t>
      </w:r>
      <w:r>
        <w:rPr>
          <w:color w:val="696F6F"/>
        </w:rPr>
        <w:t>188</w:t>
      </w:r>
      <w:r>
        <w:rPr>
          <w:color w:val="696F6F"/>
          <w:spacing w:val="-2"/>
        </w:rPr>
        <w:t> </w:t>
      </w:r>
      <w:r>
        <w:rPr>
          <w:color w:val="696F6F"/>
        </w:rPr>
        <w:t>entered</w:t>
      </w:r>
      <w:r>
        <w:rPr>
          <w:color w:val="696F6F"/>
          <w:spacing w:val="-2"/>
        </w:rPr>
        <w:t> </w:t>
      </w:r>
      <w:r>
        <w:rPr>
          <w:color w:val="696F6F"/>
        </w:rPr>
        <w:t>by</w:t>
      </w:r>
      <w:r>
        <w:rPr>
          <w:color w:val="696F6F"/>
          <w:spacing w:val="-2"/>
        </w:rPr>
        <w:t> </w:t>
      </w:r>
      <w:r>
        <w:rPr>
          <w:color w:val="696F6F"/>
        </w:rPr>
        <w:t>the</w:t>
      </w:r>
      <w:r>
        <w:rPr>
          <w:color w:val="696F6F"/>
          <w:spacing w:val="-2"/>
        </w:rPr>
        <w:t> </w:t>
      </w:r>
      <w:r>
        <w:rPr>
          <w:color w:val="696F6F"/>
        </w:rPr>
        <w:t>Company during the financial year ended 31st March, 20XX is attached in prescribed Form AOC-2 and forms part of this report.</w:t>
      </w:r>
    </w:p>
    <w:p>
      <w:pPr>
        <w:pStyle w:val="BodyText"/>
        <w:spacing w:before="139"/>
      </w:pPr>
    </w:p>
    <w:p>
      <w:pPr>
        <w:pStyle w:val="Heading1"/>
        <w:spacing w:before="1"/>
      </w:pPr>
      <w:r>
        <w:rPr>
          <w:color w:val="111111"/>
        </w:rPr>
        <w:t>Foreign</w:t>
      </w:r>
      <w:r>
        <w:rPr>
          <w:color w:val="111111"/>
          <w:spacing w:val="-1"/>
        </w:rPr>
        <w:t> </w:t>
      </w:r>
      <w:r>
        <w:rPr>
          <w:color w:val="111111"/>
        </w:rPr>
        <w:t>Exchange</w:t>
      </w:r>
      <w:r>
        <w:rPr>
          <w:color w:val="111111"/>
          <w:spacing w:val="-1"/>
        </w:rPr>
        <w:t> </w:t>
      </w:r>
      <w:r>
        <w:rPr>
          <w:color w:val="111111"/>
        </w:rPr>
        <w:t>Earnings</w:t>
      </w:r>
      <w:r>
        <w:rPr>
          <w:color w:val="111111"/>
          <w:spacing w:val="-1"/>
        </w:rPr>
        <w:t> </w:t>
      </w:r>
      <w:r>
        <w:rPr>
          <w:color w:val="111111"/>
        </w:rPr>
        <w:t>and</w:t>
      </w:r>
      <w:r>
        <w:rPr>
          <w:color w:val="111111"/>
          <w:spacing w:val="-1"/>
        </w:rPr>
        <w:t> </w:t>
      </w:r>
      <w:r>
        <w:rPr>
          <w:color w:val="111111"/>
          <w:spacing w:val="-2"/>
        </w:rPr>
        <w:t>Outgo</w:t>
      </w:r>
    </w:p>
    <w:p>
      <w:pPr>
        <w:pStyle w:val="BodyText"/>
        <w:spacing w:before="100"/>
        <w:ind w:left="359"/>
      </w:pPr>
      <w:r>
        <w:rPr>
          <w:color w:val="696F6F"/>
        </w:rPr>
        <w:t>The company</w:t>
      </w:r>
      <w:r>
        <w:rPr>
          <w:color w:val="696F6F"/>
          <w:spacing w:val="1"/>
        </w:rPr>
        <w:t> </w:t>
      </w:r>
      <w:r>
        <w:rPr>
          <w:color w:val="696F6F"/>
        </w:rPr>
        <w:t>had a</w:t>
      </w:r>
      <w:r>
        <w:rPr>
          <w:color w:val="696F6F"/>
          <w:spacing w:val="1"/>
        </w:rPr>
        <w:t> </w:t>
      </w:r>
      <w:r>
        <w:rPr>
          <w:color w:val="696F6F"/>
        </w:rPr>
        <w:t>total foreign</w:t>
      </w:r>
      <w:r>
        <w:rPr>
          <w:color w:val="696F6F"/>
          <w:spacing w:val="1"/>
        </w:rPr>
        <w:t> </w:t>
      </w:r>
      <w:r>
        <w:rPr>
          <w:color w:val="696F6F"/>
        </w:rPr>
        <w:t>exchange earnings</w:t>
      </w:r>
      <w:r>
        <w:rPr>
          <w:color w:val="696F6F"/>
          <w:spacing w:val="1"/>
        </w:rPr>
        <w:t> </w:t>
      </w:r>
      <w:r>
        <w:rPr>
          <w:color w:val="696F6F"/>
        </w:rPr>
        <w:t>and outgo</w:t>
      </w:r>
      <w:r>
        <w:rPr>
          <w:color w:val="696F6F"/>
          <w:spacing w:val="1"/>
        </w:rPr>
        <w:t> </w:t>
      </w:r>
      <w:r>
        <w:rPr>
          <w:color w:val="696F6F"/>
        </w:rPr>
        <w:t>as provided</w:t>
      </w:r>
      <w:r>
        <w:rPr>
          <w:color w:val="696F6F"/>
          <w:spacing w:val="1"/>
        </w:rPr>
        <w:t> </w:t>
      </w:r>
      <w:r>
        <w:rPr>
          <w:color w:val="696F6F"/>
        </w:rPr>
        <w:t>below during</w:t>
      </w:r>
      <w:r>
        <w:rPr>
          <w:color w:val="696F6F"/>
          <w:spacing w:val="1"/>
        </w:rPr>
        <w:t> </w:t>
      </w:r>
      <w:r>
        <w:rPr>
          <w:color w:val="696F6F"/>
        </w:rPr>
        <w:t>the year</w:t>
      </w:r>
      <w:r>
        <w:rPr>
          <w:color w:val="696F6F"/>
          <w:spacing w:val="1"/>
        </w:rPr>
        <w:t> </w:t>
      </w:r>
      <w:r>
        <w:rPr>
          <w:color w:val="696F6F"/>
        </w:rPr>
        <w:t>ended</w:t>
      </w:r>
      <w:r>
        <w:rPr>
          <w:color w:val="696F6F"/>
          <w:spacing w:val="1"/>
        </w:rPr>
        <w:t> </w:t>
      </w:r>
      <w:r>
        <w:rPr>
          <w:color w:val="696F6F"/>
        </w:rPr>
        <w:t>31st, March</w:t>
      </w:r>
      <w:r>
        <w:rPr>
          <w:color w:val="696F6F"/>
          <w:spacing w:val="1"/>
        </w:rPr>
        <w:t> </w:t>
      </w:r>
      <w:r>
        <w:rPr>
          <w:color w:val="696F6F"/>
          <w:spacing w:val="-2"/>
        </w:rPr>
        <w:t>20XX:</w:t>
      </w:r>
    </w:p>
    <w:p>
      <w:pPr>
        <w:pStyle w:val="BodyText"/>
        <w:spacing w:before="50"/>
        <w:rPr>
          <w:sz w:val="20"/>
        </w:rPr>
      </w:pPr>
      <w:r>
        <w:rPr>
          <w:sz w:val="20"/>
        </w:rPr>
        <mc:AlternateContent>
          <mc:Choice Requires="wps">
            <w:drawing>
              <wp:anchor distT="0" distB="0" distL="0" distR="0" allowOverlap="1" layoutInCell="1" locked="0" behindDoc="1" simplePos="0" relativeHeight="487589376">
                <wp:simplePos x="0" y="0"/>
                <wp:positionH relativeFrom="page">
                  <wp:posOffset>857249</wp:posOffset>
                </wp:positionH>
                <wp:positionV relativeFrom="paragraph">
                  <wp:posOffset>200600</wp:posOffset>
                </wp:positionV>
                <wp:extent cx="5600700" cy="390525"/>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5600700" cy="390525"/>
                          <a:chExt cx="5600700" cy="390525"/>
                        </a:xfrm>
                      </wpg:grpSpPr>
                      <wps:wsp>
                        <wps:cNvPr id="8" name="Textbox 8"/>
                        <wps:cNvSpPr txBox="1"/>
                        <wps:spPr>
                          <a:xfrm>
                            <a:off x="3652837" y="4762"/>
                            <a:ext cx="1943100" cy="381000"/>
                          </a:xfrm>
                          <a:prstGeom prst="rect">
                            <a:avLst/>
                          </a:prstGeom>
                          <a:ln w="9524">
                            <a:solidFill>
                              <a:srgbClr val="DDDDDD"/>
                            </a:solidFill>
                            <a:prstDash val="solid"/>
                          </a:ln>
                        </wps:spPr>
                        <wps:txbx>
                          <w:txbxContent>
                            <w:p>
                              <w:pPr>
                                <w:spacing w:before="97"/>
                                <w:ind w:left="75" w:right="0" w:firstLine="0"/>
                                <w:jc w:val="left"/>
                                <w:rPr>
                                  <w:sz w:val="15"/>
                                </w:rPr>
                              </w:pPr>
                              <w:r>
                                <w:rPr>
                                  <w:color w:val="333333"/>
                                  <w:sz w:val="15"/>
                                </w:rPr>
                                <w:t>Amount</w:t>
                              </w:r>
                              <w:r>
                                <w:rPr>
                                  <w:color w:val="333333"/>
                                  <w:spacing w:val="-2"/>
                                  <w:sz w:val="15"/>
                                </w:rPr>
                                <w:t> </w:t>
                              </w:r>
                              <w:r>
                                <w:rPr>
                                  <w:color w:val="333333"/>
                                  <w:sz w:val="15"/>
                                </w:rPr>
                                <w:t>in</w:t>
                              </w:r>
                              <w:r>
                                <w:rPr>
                                  <w:color w:val="333333"/>
                                  <w:spacing w:val="-1"/>
                                  <w:sz w:val="15"/>
                                </w:rPr>
                                <w:t> </w:t>
                              </w:r>
                              <w:r>
                                <w:rPr>
                                  <w:color w:val="333333"/>
                                  <w:spacing w:val="-5"/>
                                  <w:sz w:val="15"/>
                                </w:rPr>
                                <w:t>INR</w:t>
                              </w:r>
                            </w:p>
                          </w:txbxContent>
                        </wps:txbx>
                        <wps:bodyPr wrap="square" lIns="0" tIns="0" rIns="0" bIns="0" rtlCol="0">
                          <a:noAutofit/>
                        </wps:bodyPr>
                      </wps:wsp>
                      <wps:wsp>
                        <wps:cNvPr id="9" name="Textbox 9"/>
                        <wps:cNvSpPr txBox="1"/>
                        <wps:spPr>
                          <a:xfrm>
                            <a:off x="4762" y="4762"/>
                            <a:ext cx="3648075" cy="381000"/>
                          </a:xfrm>
                          <a:prstGeom prst="rect">
                            <a:avLst/>
                          </a:prstGeom>
                          <a:ln w="9524">
                            <a:solidFill>
                              <a:srgbClr val="DDDDDD"/>
                            </a:solidFill>
                            <a:prstDash val="solid"/>
                          </a:ln>
                        </wps:spPr>
                        <wps:txbx>
                          <w:txbxContent>
                            <w:p>
                              <w:pPr>
                                <w:spacing w:before="97"/>
                                <w:ind w:left="75" w:right="0" w:firstLine="0"/>
                                <w:jc w:val="left"/>
                                <w:rPr>
                                  <w:b/>
                                  <w:sz w:val="15"/>
                                </w:rPr>
                              </w:pPr>
                              <w:r>
                                <w:rPr>
                                  <w:b/>
                                  <w:color w:val="333333"/>
                                  <w:spacing w:val="-4"/>
                                  <w:sz w:val="15"/>
                                </w:rPr>
                                <w:t>Foreign</w:t>
                              </w:r>
                              <w:r>
                                <w:rPr>
                                  <w:b/>
                                  <w:color w:val="333333"/>
                                  <w:spacing w:val="-6"/>
                                  <w:sz w:val="15"/>
                                </w:rPr>
                                <w:t> </w:t>
                              </w:r>
                              <w:r>
                                <w:rPr>
                                  <w:b/>
                                  <w:color w:val="333333"/>
                                  <w:spacing w:val="-4"/>
                                  <w:sz w:val="15"/>
                                </w:rPr>
                                <w:t>Exchange</w:t>
                              </w:r>
                              <w:r>
                                <w:rPr>
                                  <w:b/>
                                  <w:color w:val="333333"/>
                                  <w:spacing w:val="-5"/>
                                  <w:sz w:val="15"/>
                                </w:rPr>
                                <w:t> </w:t>
                              </w:r>
                              <w:r>
                                <w:rPr>
                                  <w:b/>
                                  <w:color w:val="333333"/>
                                  <w:spacing w:val="-4"/>
                                  <w:sz w:val="15"/>
                                </w:rPr>
                                <w:t>Earnings</w:t>
                              </w:r>
                            </w:p>
                          </w:txbxContent>
                        </wps:txbx>
                        <wps:bodyPr wrap="square" lIns="0" tIns="0" rIns="0" bIns="0" rtlCol="0">
                          <a:noAutofit/>
                        </wps:bodyPr>
                      </wps:wsp>
                    </wpg:wgp>
                  </a:graphicData>
                </a:graphic>
              </wp:anchor>
            </w:drawing>
          </mc:Choice>
          <mc:Fallback>
            <w:pict>
              <v:group style="position:absolute;margin-left:67.499992pt;margin-top:15.795313pt;width:441pt;height:30.75pt;mso-position-horizontal-relative:page;mso-position-vertical-relative:paragraph;z-index:-15727104;mso-wrap-distance-left:0;mso-wrap-distance-right:0" id="docshapegroup6" coordorigin="1350,316" coordsize="8820,615">
                <v:shape style="position:absolute;left:7102;top:323;width:3060;height:600" type="#_x0000_t202" id="docshape7" filled="false" stroked="true" strokeweight=".75pt" strokecolor="#dddddd">
                  <v:textbox inset="0,0,0,0">
                    <w:txbxContent>
                      <w:p>
                        <w:pPr>
                          <w:spacing w:before="97"/>
                          <w:ind w:left="75" w:right="0" w:firstLine="0"/>
                          <w:jc w:val="left"/>
                          <w:rPr>
                            <w:sz w:val="15"/>
                          </w:rPr>
                        </w:pPr>
                        <w:r>
                          <w:rPr>
                            <w:color w:val="333333"/>
                            <w:sz w:val="15"/>
                          </w:rPr>
                          <w:t>Amount</w:t>
                        </w:r>
                        <w:r>
                          <w:rPr>
                            <w:color w:val="333333"/>
                            <w:spacing w:val="-2"/>
                            <w:sz w:val="15"/>
                          </w:rPr>
                          <w:t> </w:t>
                        </w:r>
                        <w:r>
                          <w:rPr>
                            <w:color w:val="333333"/>
                            <w:sz w:val="15"/>
                          </w:rPr>
                          <w:t>in</w:t>
                        </w:r>
                        <w:r>
                          <w:rPr>
                            <w:color w:val="333333"/>
                            <w:spacing w:val="-1"/>
                            <w:sz w:val="15"/>
                          </w:rPr>
                          <w:t> </w:t>
                        </w:r>
                        <w:r>
                          <w:rPr>
                            <w:color w:val="333333"/>
                            <w:spacing w:val="-5"/>
                            <w:sz w:val="15"/>
                          </w:rPr>
                          <w:t>INR</w:t>
                        </w:r>
                      </w:p>
                    </w:txbxContent>
                  </v:textbox>
                  <v:stroke dashstyle="solid"/>
                  <w10:wrap type="none"/>
                </v:shape>
                <v:shape style="position:absolute;left:1357;top:323;width:5745;height:600" type="#_x0000_t202" id="docshape8" filled="false" stroked="true" strokeweight=".75pt" strokecolor="#dddddd">
                  <v:textbox inset="0,0,0,0">
                    <w:txbxContent>
                      <w:p>
                        <w:pPr>
                          <w:spacing w:before="97"/>
                          <w:ind w:left="75" w:right="0" w:firstLine="0"/>
                          <w:jc w:val="left"/>
                          <w:rPr>
                            <w:b/>
                            <w:sz w:val="15"/>
                          </w:rPr>
                        </w:pPr>
                        <w:r>
                          <w:rPr>
                            <w:b/>
                            <w:color w:val="333333"/>
                            <w:spacing w:val="-4"/>
                            <w:sz w:val="15"/>
                          </w:rPr>
                          <w:t>Foreign</w:t>
                        </w:r>
                        <w:r>
                          <w:rPr>
                            <w:b/>
                            <w:color w:val="333333"/>
                            <w:spacing w:val="-6"/>
                            <w:sz w:val="15"/>
                          </w:rPr>
                          <w:t> </w:t>
                        </w:r>
                        <w:r>
                          <w:rPr>
                            <w:b/>
                            <w:color w:val="333333"/>
                            <w:spacing w:val="-4"/>
                            <w:sz w:val="15"/>
                          </w:rPr>
                          <w:t>Exchange</w:t>
                        </w:r>
                        <w:r>
                          <w:rPr>
                            <w:b/>
                            <w:color w:val="333333"/>
                            <w:spacing w:val="-5"/>
                            <w:sz w:val="15"/>
                          </w:rPr>
                          <w:t> </w:t>
                        </w:r>
                        <w:r>
                          <w:rPr>
                            <w:b/>
                            <w:color w:val="333333"/>
                            <w:spacing w:val="-4"/>
                            <w:sz w:val="15"/>
                          </w:rPr>
                          <w:t>Earnings</w:t>
                        </w:r>
                      </w:p>
                    </w:txbxContent>
                  </v:textbox>
                  <v:stroke dashstyle="solid"/>
                  <w10:wrap type="none"/>
                </v:shape>
                <w10:wrap type="topAndBottom"/>
              </v:group>
            </w:pict>
          </mc:Fallback>
        </mc:AlternateContent>
      </w:r>
    </w:p>
    <w:p>
      <w:pPr>
        <w:pStyle w:val="BodyText"/>
        <w:spacing w:after="0"/>
        <w:rPr>
          <w:sz w:val="20"/>
        </w:rPr>
        <w:sectPr>
          <w:pgSz w:w="12240" w:h="15840"/>
          <w:pgMar w:top="1420" w:bottom="280" w:left="1080" w:right="1440"/>
        </w:sectPr>
      </w:pPr>
    </w:p>
    <w:p>
      <w:pPr>
        <w:pStyle w:val="BodyText"/>
        <w:spacing w:before="0"/>
        <w:ind w:left="269"/>
        <w:rPr>
          <w:sz w:val="20"/>
        </w:rPr>
      </w:pPr>
      <w:r>
        <w:rPr>
          <w:sz w:val="20"/>
        </w:rPr>
        <mc:AlternateContent>
          <mc:Choice Requires="wps">
            <w:drawing>
              <wp:inline distT="0" distB="0" distL="0" distR="0">
                <wp:extent cx="5600700" cy="381000"/>
                <wp:effectExtent l="0" t="0" r="0" b="0"/>
                <wp:docPr id="10" name="Group 10"/>
                <wp:cNvGraphicFramePr>
                  <a:graphicFrameLocks/>
                </wp:cNvGraphicFramePr>
                <a:graphic>
                  <a:graphicData uri="http://schemas.microsoft.com/office/word/2010/wordprocessingGroup">
                    <wpg:wgp>
                      <wpg:cNvPr id="10" name="Group 10"/>
                      <wpg:cNvGrpSpPr/>
                      <wpg:grpSpPr>
                        <a:xfrm>
                          <a:off x="0" y="0"/>
                          <a:ext cx="5600700" cy="381000"/>
                          <a:chExt cx="5600700" cy="381000"/>
                        </a:xfrm>
                      </wpg:grpSpPr>
                      <wps:wsp>
                        <wps:cNvPr id="11" name="Textbox 11"/>
                        <wps:cNvSpPr txBox="1"/>
                        <wps:spPr>
                          <a:xfrm>
                            <a:off x="3652837" y="4762"/>
                            <a:ext cx="1943100" cy="371475"/>
                          </a:xfrm>
                          <a:prstGeom prst="rect">
                            <a:avLst/>
                          </a:prstGeom>
                          <a:ln w="9524">
                            <a:solidFill>
                              <a:srgbClr val="DDDDDD"/>
                            </a:solidFill>
                            <a:prstDash val="solid"/>
                          </a:ln>
                        </wps:spPr>
                        <wps:txbx>
                          <w:txbxContent>
                            <w:p>
                              <w:pPr>
                                <w:spacing w:before="86"/>
                                <w:ind w:left="75" w:right="0" w:firstLine="0"/>
                                <w:jc w:val="left"/>
                                <w:rPr>
                                  <w:sz w:val="15"/>
                                </w:rPr>
                              </w:pPr>
                              <w:r>
                                <w:rPr>
                                  <w:color w:val="333333"/>
                                  <w:sz w:val="15"/>
                                </w:rPr>
                                <w:t>Amount</w:t>
                              </w:r>
                              <w:r>
                                <w:rPr>
                                  <w:color w:val="333333"/>
                                  <w:spacing w:val="-2"/>
                                  <w:sz w:val="15"/>
                                </w:rPr>
                                <w:t> </w:t>
                              </w:r>
                              <w:r>
                                <w:rPr>
                                  <w:color w:val="333333"/>
                                  <w:sz w:val="15"/>
                                </w:rPr>
                                <w:t>in</w:t>
                              </w:r>
                              <w:r>
                                <w:rPr>
                                  <w:color w:val="333333"/>
                                  <w:spacing w:val="-1"/>
                                  <w:sz w:val="15"/>
                                </w:rPr>
                                <w:t> </w:t>
                              </w:r>
                              <w:r>
                                <w:rPr>
                                  <w:color w:val="333333"/>
                                  <w:spacing w:val="-5"/>
                                  <w:sz w:val="15"/>
                                </w:rPr>
                                <w:t>INR</w:t>
                              </w:r>
                            </w:p>
                          </w:txbxContent>
                        </wps:txbx>
                        <wps:bodyPr wrap="square" lIns="0" tIns="0" rIns="0" bIns="0" rtlCol="0">
                          <a:noAutofit/>
                        </wps:bodyPr>
                      </wps:wsp>
                      <wps:wsp>
                        <wps:cNvPr id="12" name="Textbox 12"/>
                        <wps:cNvSpPr txBox="1"/>
                        <wps:spPr>
                          <a:xfrm>
                            <a:off x="4762" y="4762"/>
                            <a:ext cx="3648075" cy="371475"/>
                          </a:xfrm>
                          <a:prstGeom prst="rect">
                            <a:avLst/>
                          </a:prstGeom>
                          <a:ln w="9524">
                            <a:solidFill>
                              <a:srgbClr val="DDDDDD"/>
                            </a:solidFill>
                            <a:prstDash val="solid"/>
                          </a:ln>
                        </wps:spPr>
                        <wps:txbx>
                          <w:txbxContent>
                            <w:p>
                              <w:pPr>
                                <w:spacing w:before="86"/>
                                <w:ind w:left="75" w:right="0" w:firstLine="0"/>
                                <w:jc w:val="left"/>
                                <w:rPr>
                                  <w:b/>
                                  <w:sz w:val="15"/>
                                </w:rPr>
                              </w:pPr>
                              <w:r>
                                <w:rPr>
                                  <w:b/>
                                  <w:color w:val="333333"/>
                                  <w:spacing w:val="-4"/>
                                  <w:sz w:val="15"/>
                                </w:rPr>
                                <w:t>Foreign</w:t>
                              </w:r>
                              <w:r>
                                <w:rPr>
                                  <w:b/>
                                  <w:color w:val="333333"/>
                                  <w:spacing w:val="-6"/>
                                  <w:sz w:val="15"/>
                                </w:rPr>
                                <w:t> </w:t>
                              </w:r>
                              <w:r>
                                <w:rPr>
                                  <w:b/>
                                  <w:color w:val="333333"/>
                                  <w:spacing w:val="-4"/>
                                  <w:sz w:val="15"/>
                                </w:rPr>
                                <w:t>Exchange</w:t>
                              </w:r>
                              <w:r>
                                <w:rPr>
                                  <w:b/>
                                  <w:color w:val="333333"/>
                                  <w:spacing w:val="-5"/>
                                  <w:sz w:val="15"/>
                                </w:rPr>
                                <w:t> </w:t>
                              </w:r>
                              <w:r>
                                <w:rPr>
                                  <w:b/>
                                  <w:color w:val="333333"/>
                                  <w:spacing w:val="-4"/>
                                  <w:sz w:val="15"/>
                                </w:rPr>
                                <w:t>Outgo</w:t>
                              </w:r>
                            </w:p>
                          </w:txbxContent>
                        </wps:txbx>
                        <wps:bodyPr wrap="square" lIns="0" tIns="0" rIns="0" bIns="0" rtlCol="0">
                          <a:noAutofit/>
                        </wps:bodyPr>
                      </wps:wsp>
                    </wpg:wgp>
                  </a:graphicData>
                </a:graphic>
              </wp:inline>
            </w:drawing>
          </mc:Choice>
          <mc:Fallback>
            <w:pict>
              <v:group style="width:441pt;height:30pt;mso-position-horizontal-relative:char;mso-position-vertical-relative:line" id="docshapegroup9" coordorigin="0,0" coordsize="8820,600">
                <v:shape style="position:absolute;left:5752;top:7;width:3060;height:585" type="#_x0000_t202" id="docshape10" filled="false" stroked="true" strokeweight=".75pt" strokecolor="#dddddd">
                  <v:textbox inset="0,0,0,0">
                    <w:txbxContent>
                      <w:p>
                        <w:pPr>
                          <w:spacing w:before="86"/>
                          <w:ind w:left="75" w:right="0" w:firstLine="0"/>
                          <w:jc w:val="left"/>
                          <w:rPr>
                            <w:sz w:val="15"/>
                          </w:rPr>
                        </w:pPr>
                        <w:r>
                          <w:rPr>
                            <w:color w:val="333333"/>
                            <w:sz w:val="15"/>
                          </w:rPr>
                          <w:t>Amount</w:t>
                        </w:r>
                        <w:r>
                          <w:rPr>
                            <w:color w:val="333333"/>
                            <w:spacing w:val="-2"/>
                            <w:sz w:val="15"/>
                          </w:rPr>
                          <w:t> </w:t>
                        </w:r>
                        <w:r>
                          <w:rPr>
                            <w:color w:val="333333"/>
                            <w:sz w:val="15"/>
                          </w:rPr>
                          <w:t>in</w:t>
                        </w:r>
                        <w:r>
                          <w:rPr>
                            <w:color w:val="333333"/>
                            <w:spacing w:val="-1"/>
                            <w:sz w:val="15"/>
                          </w:rPr>
                          <w:t> </w:t>
                        </w:r>
                        <w:r>
                          <w:rPr>
                            <w:color w:val="333333"/>
                            <w:spacing w:val="-5"/>
                            <w:sz w:val="15"/>
                          </w:rPr>
                          <w:t>INR</w:t>
                        </w:r>
                      </w:p>
                    </w:txbxContent>
                  </v:textbox>
                  <v:stroke dashstyle="solid"/>
                  <w10:wrap type="none"/>
                </v:shape>
                <v:shape style="position:absolute;left:7;top:7;width:5745;height:585" type="#_x0000_t202" id="docshape11" filled="false" stroked="true" strokeweight=".75pt" strokecolor="#dddddd">
                  <v:textbox inset="0,0,0,0">
                    <w:txbxContent>
                      <w:p>
                        <w:pPr>
                          <w:spacing w:before="86"/>
                          <w:ind w:left="75" w:right="0" w:firstLine="0"/>
                          <w:jc w:val="left"/>
                          <w:rPr>
                            <w:b/>
                            <w:sz w:val="15"/>
                          </w:rPr>
                        </w:pPr>
                        <w:r>
                          <w:rPr>
                            <w:b/>
                            <w:color w:val="333333"/>
                            <w:spacing w:val="-4"/>
                            <w:sz w:val="15"/>
                          </w:rPr>
                          <w:t>Foreign</w:t>
                        </w:r>
                        <w:r>
                          <w:rPr>
                            <w:b/>
                            <w:color w:val="333333"/>
                            <w:spacing w:val="-6"/>
                            <w:sz w:val="15"/>
                          </w:rPr>
                          <w:t> </w:t>
                        </w:r>
                        <w:r>
                          <w:rPr>
                            <w:b/>
                            <w:color w:val="333333"/>
                            <w:spacing w:val="-4"/>
                            <w:sz w:val="15"/>
                          </w:rPr>
                          <w:t>Exchange</w:t>
                        </w:r>
                        <w:r>
                          <w:rPr>
                            <w:b/>
                            <w:color w:val="333333"/>
                            <w:spacing w:val="-5"/>
                            <w:sz w:val="15"/>
                          </w:rPr>
                          <w:t> </w:t>
                        </w:r>
                        <w:r>
                          <w:rPr>
                            <w:b/>
                            <w:color w:val="333333"/>
                            <w:spacing w:val="-4"/>
                            <w:sz w:val="15"/>
                          </w:rPr>
                          <w:t>Outgo</w:t>
                        </w:r>
                      </w:p>
                    </w:txbxContent>
                  </v:textbox>
                  <v:stroke dashstyle="solid"/>
                  <w10:wrap type="none"/>
                </v:shape>
              </v:group>
            </w:pict>
          </mc:Fallback>
        </mc:AlternateContent>
      </w:r>
      <w:r>
        <w:rPr>
          <w:sz w:val="20"/>
        </w:rPr>
      </w:r>
    </w:p>
    <w:p>
      <w:pPr>
        <w:pStyle w:val="Heading1"/>
        <w:spacing w:before="3"/>
      </w:pPr>
      <w:r>
        <w:rPr>
          <w:color w:val="111111"/>
        </w:rPr>
        <w:t>Risk</w:t>
      </w:r>
      <w:r>
        <w:rPr>
          <w:color w:val="111111"/>
          <w:spacing w:val="-1"/>
        </w:rPr>
        <w:t> </w:t>
      </w:r>
      <w:r>
        <w:rPr>
          <w:color w:val="111111"/>
        </w:rPr>
        <w:t>Management</w:t>
      </w:r>
      <w:r>
        <w:rPr>
          <w:color w:val="111111"/>
          <w:spacing w:val="-1"/>
        </w:rPr>
        <w:t> </w:t>
      </w:r>
      <w:r>
        <w:rPr>
          <w:color w:val="111111"/>
          <w:spacing w:val="-2"/>
        </w:rPr>
        <w:t>Policy</w:t>
      </w:r>
    </w:p>
    <w:p>
      <w:pPr>
        <w:pStyle w:val="BodyText"/>
        <w:spacing w:line="249" w:lineRule="auto"/>
        <w:ind w:left="359" w:right="117"/>
      </w:pPr>
      <w:r>
        <w:rPr>
          <w:color w:val="696F6F"/>
        </w:rPr>
        <w:t>The Company has developed and implemented a risk management policy which identifies major risks which may threaten the existence of the Company. The same has also been adopted by your Board and is also subject to its review from time to time. Risk mitigation process and measures have been also formulated and clearly spelled out in the said policy.</w:t>
      </w:r>
    </w:p>
    <w:p>
      <w:pPr>
        <w:pStyle w:val="BodyText"/>
        <w:spacing w:before="140"/>
      </w:pPr>
    </w:p>
    <w:p>
      <w:pPr>
        <w:pStyle w:val="Heading1"/>
      </w:pPr>
      <w:r>
        <w:rPr>
          <w:color w:val="111111"/>
          <w:spacing w:val="-2"/>
        </w:rPr>
        <w:t>Deposits</w:t>
      </w:r>
    </w:p>
    <w:p>
      <w:pPr>
        <w:pStyle w:val="BodyText"/>
        <w:ind w:left="359"/>
      </w:pPr>
      <w:r>
        <w:rPr>
          <w:color w:val="696F6F"/>
        </w:rPr>
        <w:t>The</w:t>
      </w:r>
      <w:r>
        <w:rPr>
          <w:color w:val="696F6F"/>
          <w:spacing w:val="2"/>
        </w:rPr>
        <w:t> </w:t>
      </w:r>
      <w:r>
        <w:rPr>
          <w:color w:val="696F6F"/>
        </w:rPr>
        <w:t>Company</w:t>
      </w:r>
      <w:r>
        <w:rPr>
          <w:color w:val="696F6F"/>
          <w:spacing w:val="2"/>
        </w:rPr>
        <w:t> </w:t>
      </w:r>
      <w:r>
        <w:rPr>
          <w:color w:val="696F6F"/>
        </w:rPr>
        <w:t>has</w:t>
      </w:r>
      <w:r>
        <w:rPr>
          <w:color w:val="696F6F"/>
          <w:spacing w:val="2"/>
        </w:rPr>
        <w:t> </w:t>
      </w:r>
      <w:r>
        <w:rPr>
          <w:color w:val="696F6F"/>
        </w:rPr>
        <w:t>not</w:t>
      </w:r>
      <w:r>
        <w:rPr>
          <w:color w:val="696F6F"/>
          <w:spacing w:val="2"/>
        </w:rPr>
        <w:t> </w:t>
      </w:r>
      <w:r>
        <w:rPr>
          <w:color w:val="696F6F"/>
        </w:rPr>
        <w:t>accepted</w:t>
      </w:r>
      <w:r>
        <w:rPr>
          <w:color w:val="696F6F"/>
          <w:spacing w:val="2"/>
        </w:rPr>
        <w:t> </w:t>
      </w:r>
      <w:r>
        <w:rPr>
          <w:color w:val="696F6F"/>
        </w:rPr>
        <w:t>any</w:t>
      </w:r>
      <w:r>
        <w:rPr>
          <w:color w:val="696F6F"/>
          <w:spacing w:val="3"/>
        </w:rPr>
        <w:t> </w:t>
      </w:r>
      <w:r>
        <w:rPr>
          <w:color w:val="696F6F"/>
        </w:rPr>
        <w:t>deposits</w:t>
      </w:r>
      <w:r>
        <w:rPr>
          <w:color w:val="696F6F"/>
          <w:spacing w:val="2"/>
        </w:rPr>
        <w:t> </w:t>
      </w:r>
      <w:r>
        <w:rPr>
          <w:color w:val="696F6F"/>
        </w:rPr>
        <w:t>during</w:t>
      </w:r>
      <w:r>
        <w:rPr>
          <w:color w:val="696F6F"/>
          <w:spacing w:val="2"/>
        </w:rPr>
        <w:t> </w:t>
      </w:r>
      <w:r>
        <w:rPr>
          <w:color w:val="696F6F"/>
        </w:rPr>
        <w:t>the</w:t>
      </w:r>
      <w:r>
        <w:rPr>
          <w:color w:val="696F6F"/>
          <w:spacing w:val="2"/>
        </w:rPr>
        <w:t> </w:t>
      </w:r>
      <w:r>
        <w:rPr>
          <w:color w:val="696F6F"/>
        </w:rPr>
        <w:t>year</w:t>
      </w:r>
      <w:r>
        <w:rPr>
          <w:color w:val="696F6F"/>
          <w:spacing w:val="2"/>
        </w:rPr>
        <w:t> </w:t>
      </w:r>
      <w:r>
        <w:rPr>
          <w:color w:val="696F6F"/>
        </w:rPr>
        <w:t>under</w:t>
      </w:r>
      <w:r>
        <w:rPr>
          <w:color w:val="696F6F"/>
          <w:spacing w:val="3"/>
        </w:rPr>
        <w:t> </w:t>
      </w:r>
      <w:r>
        <w:rPr>
          <w:color w:val="696F6F"/>
          <w:spacing w:val="-2"/>
        </w:rPr>
        <w:t>review.</w:t>
      </w:r>
    </w:p>
    <w:p>
      <w:pPr>
        <w:pStyle w:val="BodyText"/>
        <w:spacing w:before="146"/>
      </w:pPr>
    </w:p>
    <w:p>
      <w:pPr>
        <w:pStyle w:val="Heading1"/>
      </w:pPr>
      <w:r>
        <w:rPr>
          <w:color w:val="111111"/>
        </w:rPr>
        <w:t>Material</w:t>
      </w:r>
      <w:r>
        <w:rPr>
          <w:color w:val="111111"/>
          <w:spacing w:val="-1"/>
        </w:rPr>
        <w:t> </w:t>
      </w:r>
      <w:r>
        <w:rPr>
          <w:color w:val="111111"/>
        </w:rPr>
        <w:t>Changes</w:t>
      </w:r>
      <w:r>
        <w:rPr>
          <w:color w:val="111111"/>
          <w:spacing w:val="-1"/>
        </w:rPr>
        <w:t> </w:t>
      </w:r>
      <w:r>
        <w:rPr>
          <w:color w:val="111111"/>
        </w:rPr>
        <w:t>and</w:t>
      </w:r>
      <w:r>
        <w:rPr>
          <w:color w:val="111111"/>
          <w:spacing w:val="-1"/>
        </w:rPr>
        <w:t> </w:t>
      </w:r>
      <w:r>
        <w:rPr>
          <w:color w:val="111111"/>
          <w:spacing w:val="-2"/>
        </w:rPr>
        <w:t>Commitments</w:t>
      </w:r>
    </w:p>
    <w:p>
      <w:pPr>
        <w:pStyle w:val="BodyText"/>
        <w:spacing w:line="249" w:lineRule="auto"/>
        <w:ind w:left="359"/>
      </w:pPr>
      <w:r>
        <w:rPr>
          <w:color w:val="696F6F"/>
        </w:rPr>
        <w:t>No material changes and commitments affecting the financial position of the Company occurred between the end of the financial year to which this financial statement relates and the date of this report.</w:t>
      </w:r>
    </w:p>
    <w:p>
      <w:pPr>
        <w:pStyle w:val="BodyText"/>
        <w:spacing w:before="139"/>
      </w:pPr>
    </w:p>
    <w:p>
      <w:pPr>
        <w:pStyle w:val="Heading2"/>
      </w:pPr>
      <w:r>
        <w:rPr>
          <w:color w:val="FF0000"/>
        </w:rPr>
        <w:t>In</w:t>
      </w:r>
      <w:r>
        <w:rPr>
          <w:color w:val="FF0000"/>
          <w:spacing w:val="-1"/>
        </w:rPr>
        <w:t> </w:t>
      </w:r>
      <w:r>
        <w:rPr>
          <w:color w:val="FF0000"/>
        </w:rPr>
        <w:t>case</w:t>
      </w:r>
      <w:r>
        <w:rPr>
          <w:color w:val="FF0000"/>
          <w:spacing w:val="-1"/>
        </w:rPr>
        <w:t> </w:t>
      </w:r>
      <w:r>
        <w:rPr>
          <w:color w:val="FF0000"/>
        </w:rPr>
        <w:t>of</w:t>
      </w:r>
      <w:r>
        <w:rPr>
          <w:color w:val="FF0000"/>
          <w:spacing w:val="-1"/>
        </w:rPr>
        <w:t> </w:t>
      </w:r>
      <w:r>
        <w:rPr>
          <w:color w:val="FF0000"/>
        </w:rPr>
        <w:t>any</w:t>
      </w:r>
      <w:r>
        <w:rPr>
          <w:color w:val="FF0000"/>
          <w:spacing w:val="-1"/>
        </w:rPr>
        <w:t> </w:t>
      </w:r>
      <w:r>
        <w:rPr>
          <w:color w:val="FF0000"/>
        </w:rPr>
        <w:t>material</w:t>
      </w:r>
      <w:r>
        <w:rPr>
          <w:color w:val="FF0000"/>
          <w:spacing w:val="-1"/>
        </w:rPr>
        <w:t> </w:t>
      </w:r>
      <w:r>
        <w:rPr>
          <w:color w:val="FF0000"/>
        </w:rPr>
        <w:t>changes</w:t>
      </w:r>
      <w:r>
        <w:rPr>
          <w:color w:val="FF0000"/>
          <w:spacing w:val="-1"/>
        </w:rPr>
        <w:t> </w:t>
      </w:r>
      <w:r>
        <w:rPr>
          <w:color w:val="FF0000"/>
        </w:rPr>
        <w:t>or</w:t>
      </w:r>
      <w:r>
        <w:rPr>
          <w:color w:val="FF0000"/>
          <w:spacing w:val="-1"/>
        </w:rPr>
        <w:t> </w:t>
      </w:r>
      <w:r>
        <w:rPr>
          <w:color w:val="FF0000"/>
        </w:rPr>
        <w:t>financial</w:t>
      </w:r>
      <w:r>
        <w:rPr>
          <w:color w:val="FF0000"/>
          <w:spacing w:val="-1"/>
        </w:rPr>
        <w:t> </w:t>
      </w:r>
      <w:r>
        <w:rPr>
          <w:color w:val="FF0000"/>
          <w:spacing w:val="-2"/>
        </w:rPr>
        <w:t>occurrences</w:t>
      </w:r>
    </w:p>
    <w:p>
      <w:pPr>
        <w:pStyle w:val="BodyText"/>
        <w:ind w:left="359"/>
      </w:pPr>
      <w:r>
        <w:rPr>
          <w:color w:val="696F6F"/>
        </w:rPr>
        <w:t>The</w:t>
      </w:r>
      <w:r>
        <w:rPr>
          <w:color w:val="696F6F"/>
          <w:spacing w:val="-2"/>
        </w:rPr>
        <w:t> </w:t>
      </w:r>
      <w:r>
        <w:rPr>
          <w:color w:val="696F6F"/>
        </w:rPr>
        <w:t>following</w:t>
      </w:r>
      <w:r>
        <w:rPr>
          <w:color w:val="696F6F"/>
          <w:spacing w:val="-2"/>
        </w:rPr>
        <w:t> </w:t>
      </w:r>
      <w:r>
        <w:rPr>
          <w:color w:val="696F6F"/>
        </w:rPr>
        <w:t>material</w:t>
      </w:r>
      <w:r>
        <w:rPr>
          <w:color w:val="696F6F"/>
          <w:spacing w:val="-2"/>
        </w:rPr>
        <w:t> </w:t>
      </w:r>
      <w:r>
        <w:rPr>
          <w:color w:val="696F6F"/>
        </w:rPr>
        <w:t>changes</w:t>
      </w:r>
      <w:r>
        <w:rPr>
          <w:color w:val="696F6F"/>
          <w:spacing w:val="-1"/>
        </w:rPr>
        <w:t> </w:t>
      </w:r>
      <w:r>
        <w:rPr>
          <w:color w:val="696F6F"/>
        </w:rPr>
        <w:t>and</w:t>
      </w:r>
      <w:r>
        <w:rPr>
          <w:color w:val="696F6F"/>
          <w:spacing w:val="-2"/>
        </w:rPr>
        <w:t> </w:t>
      </w:r>
      <w:r>
        <w:rPr>
          <w:color w:val="696F6F"/>
        </w:rPr>
        <w:t>commitment</w:t>
      </w:r>
      <w:r>
        <w:rPr>
          <w:color w:val="696F6F"/>
          <w:spacing w:val="-2"/>
        </w:rPr>
        <w:t> </w:t>
      </w:r>
      <w:r>
        <w:rPr>
          <w:color w:val="696F6F"/>
        </w:rPr>
        <w:t>occurred</w:t>
      </w:r>
      <w:r>
        <w:rPr>
          <w:color w:val="696F6F"/>
          <w:spacing w:val="-2"/>
        </w:rPr>
        <w:t> </w:t>
      </w:r>
      <w:r>
        <w:rPr>
          <w:color w:val="696F6F"/>
        </w:rPr>
        <w:t>during</w:t>
      </w:r>
      <w:r>
        <w:rPr>
          <w:color w:val="696F6F"/>
          <w:spacing w:val="-2"/>
        </w:rPr>
        <w:t> </w:t>
      </w:r>
      <w:r>
        <w:rPr>
          <w:color w:val="696F6F"/>
        </w:rPr>
        <w:t>the</w:t>
      </w:r>
      <w:r>
        <w:rPr>
          <w:color w:val="696F6F"/>
          <w:spacing w:val="-1"/>
        </w:rPr>
        <w:t> </w:t>
      </w:r>
      <w:r>
        <w:rPr>
          <w:color w:val="696F6F"/>
        </w:rPr>
        <w:t>year</w:t>
      </w:r>
      <w:r>
        <w:rPr>
          <w:color w:val="696F6F"/>
          <w:spacing w:val="-2"/>
        </w:rPr>
        <w:t> </w:t>
      </w:r>
      <w:r>
        <w:rPr>
          <w:color w:val="696F6F"/>
        </w:rPr>
        <w:t>under</w:t>
      </w:r>
      <w:r>
        <w:rPr>
          <w:color w:val="696F6F"/>
          <w:spacing w:val="-2"/>
        </w:rPr>
        <w:t> </w:t>
      </w:r>
      <w:r>
        <w:rPr>
          <w:color w:val="696F6F"/>
        </w:rPr>
        <w:t>review</w:t>
      </w:r>
      <w:r>
        <w:rPr>
          <w:color w:val="696F6F"/>
          <w:spacing w:val="-2"/>
        </w:rPr>
        <w:t> </w:t>
      </w:r>
      <w:r>
        <w:rPr>
          <w:color w:val="696F6F"/>
        </w:rPr>
        <w:t>affecting</w:t>
      </w:r>
      <w:r>
        <w:rPr>
          <w:color w:val="696F6F"/>
          <w:spacing w:val="-1"/>
        </w:rPr>
        <w:t> </w:t>
      </w:r>
      <w:r>
        <w:rPr>
          <w:color w:val="696F6F"/>
        </w:rPr>
        <w:t>the</w:t>
      </w:r>
      <w:r>
        <w:rPr>
          <w:color w:val="696F6F"/>
          <w:spacing w:val="-2"/>
        </w:rPr>
        <w:t> </w:t>
      </w:r>
      <w:r>
        <w:rPr>
          <w:color w:val="696F6F"/>
        </w:rPr>
        <w:t>financial</w:t>
      </w:r>
      <w:r>
        <w:rPr>
          <w:color w:val="696F6F"/>
          <w:spacing w:val="-2"/>
        </w:rPr>
        <w:t> </w:t>
      </w:r>
      <w:r>
        <w:rPr>
          <w:color w:val="696F6F"/>
        </w:rPr>
        <w:t>position</w:t>
      </w:r>
      <w:r>
        <w:rPr>
          <w:color w:val="696F6F"/>
          <w:spacing w:val="-2"/>
        </w:rPr>
        <w:t> </w:t>
      </w:r>
      <w:r>
        <w:rPr>
          <w:color w:val="696F6F"/>
        </w:rPr>
        <w:t>of</w:t>
      </w:r>
      <w:r>
        <w:rPr>
          <w:color w:val="696F6F"/>
          <w:spacing w:val="-1"/>
        </w:rPr>
        <w:t> </w:t>
      </w:r>
      <w:r>
        <w:rPr>
          <w:color w:val="696F6F"/>
        </w:rPr>
        <w:t>the</w:t>
      </w:r>
      <w:r>
        <w:rPr>
          <w:color w:val="696F6F"/>
          <w:spacing w:val="-2"/>
        </w:rPr>
        <w:t> Company.</w:t>
      </w:r>
    </w:p>
    <w:p>
      <w:pPr>
        <w:pStyle w:val="BodyText"/>
        <w:spacing w:before="142"/>
      </w:pPr>
    </w:p>
    <w:p>
      <w:pPr>
        <w:pStyle w:val="ListParagraph"/>
        <w:numPr>
          <w:ilvl w:val="0"/>
          <w:numId w:val="1"/>
        </w:numPr>
        <w:tabs>
          <w:tab w:pos="1079" w:val="left" w:leader="none"/>
        </w:tabs>
        <w:spacing w:line="240" w:lineRule="auto" w:before="0" w:after="0"/>
        <w:ind w:left="1079" w:right="0" w:hanging="360"/>
        <w:jc w:val="left"/>
        <w:rPr>
          <w:b/>
          <w:sz w:val="15"/>
        </w:rPr>
      </w:pPr>
      <w:r>
        <w:rPr>
          <w:b/>
          <w:color w:val="333333"/>
          <w:spacing w:val="-4"/>
          <w:sz w:val="15"/>
        </w:rPr>
        <w:t>Material Change</w:t>
      </w:r>
      <w:r>
        <w:rPr>
          <w:b/>
          <w:color w:val="333333"/>
          <w:spacing w:val="-3"/>
          <w:sz w:val="15"/>
        </w:rPr>
        <w:t> </w:t>
      </w:r>
      <w:r>
        <w:rPr>
          <w:b/>
          <w:color w:val="333333"/>
          <w:spacing w:val="-7"/>
          <w:sz w:val="15"/>
        </w:rPr>
        <w:t>1:</w:t>
      </w:r>
    </w:p>
    <w:p>
      <w:pPr>
        <w:pStyle w:val="ListParagraph"/>
        <w:numPr>
          <w:ilvl w:val="0"/>
          <w:numId w:val="1"/>
        </w:numPr>
        <w:tabs>
          <w:tab w:pos="1079" w:val="left" w:leader="none"/>
        </w:tabs>
        <w:spacing w:line="240" w:lineRule="auto" w:before="8" w:after="0"/>
        <w:ind w:left="1079" w:right="0" w:hanging="360"/>
        <w:jc w:val="left"/>
        <w:rPr>
          <w:b/>
          <w:sz w:val="15"/>
        </w:rPr>
      </w:pPr>
      <w:r>
        <w:rPr>
          <w:b/>
          <w:color w:val="333333"/>
          <w:spacing w:val="-4"/>
          <w:sz w:val="15"/>
        </w:rPr>
        <w:t>Material Change</w:t>
      </w:r>
      <w:r>
        <w:rPr>
          <w:b/>
          <w:color w:val="333333"/>
          <w:spacing w:val="-3"/>
          <w:sz w:val="15"/>
        </w:rPr>
        <w:t> </w:t>
      </w:r>
      <w:r>
        <w:rPr>
          <w:b/>
          <w:color w:val="333333"/>
          <w:spacing w:val="-7"/>
          <w:sz w:val="15"/>
        </w:rPr>
        <w:t>2:</w:t>
      </w:r>
    </w:p>
    <w:p>
      <w:pPr>
        <w:pStyle w:val="BodyText"/>
        <w:spacing w:before="110"/>
        <w:rPr>
          <w:b/>
        </w:rPr>
      </w:pPr>
    </w:p>
    <w:p>
      <w:pPr>
        <w:pStyle w:val="Heading1"/>
      </w:pPr>
      <w:r>
        <w:rPr>
          <w:color w:val="111111"/>
        </w:rPr>
        <w:t>Significant</w:t>
      </w:r>
      <w:r>
        <w:rPr>
          <w:color w:val="111111"/>
          <w:spacing w:val="-1"/>
        </w:rPr>
        <w:t> </w:t>
      </w:r>
      <w:r>
        <w:rPr>
          <w:color w:val="111111"/>
        </w:rPr>
        <w:t>and</w:t>
      </w:r>
      <w:r>
        <w:rPr>
          <w:color w:val="111111"/>
          <w:spacing w:val="-1"/>
        </w:rPr>
        <w:t> </w:t>
      </w:r>
      <w:r>
        <w:rPr>
          <w:color w:val="111111"/>
        </w:rPr>
        <w:t>Material</w:t>
      </w:r>
      <w:r>
        <w:rPr>
          <w:color w:val="111111"/>
          <w:spacing w:val="-1"/>
        </w:rPr>
        <w:t> </w:t>
      </w:r>
      <w:r>
        <w:rPr>
          <w:color w:val="111111"/>
        </w:rPr>
        <w:t>Orders</w:t>
      </w:r>
      <w:r>
        <w:rPr>
          <w:color w:val="111111"/>
          <w:spacing w:val="-1"/>
        </w:rPr>
        <w:t> </w:t>
      </w:r>
      <w:r>
        <w:rPr>
          <w:color w:val="111111"/>
        </w:rPr>
        <w:t>Passed</w:t>
      </w:r>
      <w:r>
        <w:rPr>
          <w:color w:val="111111"/>
          <w:spacing w:val="-1"/>
        </w:rPr>
        <w:t> </w:t>
      </w:r>
      <w:r>
        <w:rPr>
          <w:color w:val="111111"/>
        </w:rPr>
        <w:t>by</w:t>
      </w:r>
      <w:r>
        <w:rPr>
          <w:color w:val="111111"/>
          <w:spacing w:val="-1"/>
        </w:rPr>
        <w:t> </w:t>
      </w:r>
      <w:r>
        <w:rPr>
          <w:color w:val="111111"/>
        </w:rPr>
        <w:t>Regulators,</w:t>
      </w:r>
      <w:r>
        <w:rPr>
          <w:color w:val="111111"/>
          <w:spacing w:val="-1"/>
        </w:rPr>
        <w:t> </w:t>
      </w:r>
      <w:r>
        <w:rPr>
          <w:color w:val="111111"/>
        </w:rPr>
        <w:t>Courts</w:t>
      </w:r>
      <w:r>
        <w:rPr>
          <w:color w:val="111111"/>
          <w:spacing w:val="-1"/>
        </w:rPr>
        <w:t> </w:t>
      </w:r>
      <w:r>
        <w:rPr>
          <w:color w:val="111111"/>
        </w:rPr>
        <w:t>and</w:t>
      </w:r>
      <w:r>
        <w:rPr>
          <w:color w:val="111111"/>
          <w:spacing w:val="-1"/>
        </w:rPr>
        <w:t> </w:t>
      </w:r>
      <w:r>
        <w:rPr>
          <w:color w:val="111111"/>
          <w:spacing w:val="-2"/>
        </w:rPr>
        <w:t>Tribunals</w:t>
      </w:r>
    </w:p>
    <w:p>
      <w:pPr>
        <w:pStyle w:val="BodyText"/>
        <w:spacing w:line="249" w:lineRule="auto"/>
        <w:ind w:left="359" w:right="127"/>
      </w:pPr>
      <w:r>
        <w:rPr>
          <w:color w:val="696F6F"/>
        </w:rPr>
        <w:t>No significant and material order has been passed by the regulators, courts, tribunals impacting the going concern status and Company’s operations in future.</w:t>
      </w:r>
    </w:p>
    <w:p>
      <w:pPr>
        <w:pStyle w:val="BodyText"/>
        <w:spacing w:before="139"/>
      </w:pPr>
    </w:p>
    <w:p>
      <w:pPr>
        <w:pStyle w:val="Heading2"/>
        <w:spacing w:before="1"/>
      </w:pPr>
      <w:r>
        <w:rPr>
          <w:color w:val="FF0000"/>
        </w:rPr>
        <w:t>In</w:t>
      </w:r>
      <w:r>
        <w:rPr>
          <w:color w:val="FF0000"/>
          <w:spacing w:val="-1"/>
        </w:rPr>
        <w:t> </w:t>
      </w:r>
      <w:r>
        <w:rPr>
          <w:color w:val="FF0000"/>
        </w:rPr>
        <w:t>case</w:t>
      </w:r>
      <w:r>
        <w:rPr>
          <w:color w:val="FF0000"/>
          <w:spacing w:val="-1"/>
        </w:rPr>
        <w:t> </w:t>
      </w:r>
      <w:r>
        <w:rPr>
          <w:color w:val="FF0000"/>
        </w:rPr>
        <w:t>any</w:t>
      </w:r>
      <w:r>
        <w:rPr>
          <w:color w:val="FF0000"/>
          <w:spacing w:val="-1"/>
        </w:rPr>
        <w:t> </w:t>
      </w:r>
      <w:r>
        <w:rPr>
          <w:color w:val="FF0000"/>
        </w:rPr>
        <w:t>orders</w:t>
      </w:r>
      <w:r>
        <w:rPr>
          <w:color w:val="FF0000"/>
          <w:spacing w:val="-1"/>
        </w:rPr>
        <w:t> </w:t>
      </w:r>
      <w:r>
        <w:rPr>
          <w:color w:val="FF0000"/>
        </w:rPr>
        <w:t>were</w:t>
      </w:r>
      <w:r>
        <w:rPr>
          <w:color w:val="FF0000"/>
          <w:spacing w:val="-1"/>
        </w:rPr>
        <w:t> </w:t>
      </w:r>
      <w:r>
        <w:rPr>
          <w:color w:val="FF0000"/>
          <w:spacing w:val="-2"/>
        </w:rPr>
        <w:t>passes</w:t>
      </w:r>
    </w:p>
    <w:p>
      <w:pPr>
        <w:pStyle w:val="BodyText"/>
        <w:spacing w:line="249" w:lineRule="auto" w:before="100"/>
        <w:ind w:left="359" w:right="127"/>
      </w:pPr>
      <w:r>
        <w:rPr>
          <w:color w:val="696F6F"/>
        </w:rPr>
        <w:t>The details of a significant material order passed by the Hon’ble High Court which may impact the going concern status of the Company and its future operations is provided in Annexure and forms part of this report.</w:t>
      </w:r>
    </w:p>
    <w:p>
      <w:pPr>
        <w:pStyle w:val="BodyText"/>
        <w:spacing w:before="140"/>
      </w:pPr>
    </w:p>
    <w:p>
      <w:pPr>
        <w:pStyle w:val="Heading1"/>
      </w:pPr>
      <w:r>
        <w:rPr>
          <w:color w:val="111111"/>
        </w:rPr>
        <w:t>Corporate</w:t>
      </w:r>
      <w:r>
        <w:rPr>
          <w:color w:val="111111"/>
          <w:spacing w:val="-1"/>
        </w:rPr>
        <w:t> </w:t>
      </w:r>
      <w:r>
        <w:rPr>
          <w:color w:val="111111"/>
        </w:rPr>
        <w:t>Social</w:t>
      </w:r>
      <w:r>
        <w:rPr>
          <w:color w:val="111111"/>
          <w:spacing w:val="-1"/>
        </w:rPr>
        <w:t> </w:t>
      </w:r>
      <w:r>
        <w:rPr>
          <w:color w:val="111111"/>
        </w:rPr>
        <w:t>Responsibility</w:t>
      </w:r>
      <w:r>
        <w:rPr>
          <w:color w:val="111111"/>
          <w:spacing w:val="-1"/>
        </w:rPr>
        <w:t> </w:t>
      </w:r>
      <w:r>
        <w:rPr>
          <w:color w:val="111111"/>
          <w:spacing w:val="-2"/>
        </w:rPr>
        <w:t>(CSR)</w:t>
      </w:r>
    </w:p>
    <w:p>
      <w:pPr>
        <w:pStyle w:val="BodyText"/>
        <w:spacing w:line="249" w:lineRule="auto"/>
        <w:ind w:left="359"/>
      </w:pPr>
      <w:r>
        <w:rPr>
          <w:color w:val="696F6F"/>
          <w:w w:val="105"/>
        </w:rPr>
        <w:t>The</w:t>
      </w:r>
      <w:r>
        <w:rPr>
          <w:color w:val="696F6F"/>
          <w:spacing w:val="-10"/>
          <w:w w:val="105"/>
        </w:rPr>
        <w:t> </w:t>
      </w:r>
      <w:r>
        <w:rPr>
          <w:color w:val="696F6F"/>
          <w:w w:val="105"/>
        </w:rPr>
        <w:t>Corporate</w:t>
      </w:r>
      <w:r>
        <w:rPr>
          <w:color w:val="696F6F"/>
          <w:spacing w:val="-10"/>
          <w:w w:val="105"/>
        </w:rPr>
        <w:t> </w:t>
      </w:r>
      <w:r>
        <w:rPr>
          <w:color w:val="696F6F"/>
          <w:w w:val="105"/>
        </w:rPr>
        <w:t>Social</w:t>
      </w:r>
      <w:r>
        <w:rPr>
          <w:color w:val="696F6F"/>
          <w:spacing w:val="-10"/>
          <w:w w:val="105"/>
        </w:rPr>
        <w:t> </w:t>
      </w:r>
      <w:r>
        <w:rPr>
          <w:color w:val="696F6F"/>
          <w:w w:val="105"/>
        </w:rPr>
        <w:t>Responsibility</w:t>
      </w:r>
      <w:r>
        <w:rPr>
          <w:color w:val="696F6F"/>
          <w:spacing w:val="-10"/>
          <w:w w:val="105"/>
        </w:rPr>
        <w:t> </w:t>
      </w:r>
      <w:r>
        <w:rPr>
          <w:color w:val="696F6F"/>
          <w:w w:val="105"/>
        </w:rPr>
        <w:t>Committee</w:t>
      </w:r>
      <w:r>
        <w:rPr>
          <w:color w:val="696F6F"/>
          <w:spacing w:val="-10"/>
          <w:w w:val="105"/>
        </w:rPr>
        <w:t> </w:t>
      </w:r>
      <w:r>
        <w:rPr>
          <w:color w:val="696F6F"/>
          <w:w w:val="105"/>
        </w:rPr>
        <w:t>(CSR</w:t>
      </w:r>
      <w:r>
        <w:rPr>
          <w:color w:val="696F6F"/>
          <w:spacing w:val="-10"/>
          <w:w w:val="105"/>
        </w:rPr>
        <w:t> </w:t>
      </w:r>
      <w:r>
        <w:rPr>
          <w:color w:val="696F6F"/>
          <w:w w:val="105"/>
        </w:rPr>
        <w:t>Committee)</w:t>
      </w:r>
      <w:r>
        <w:rPr>
          <w:color w:val="696F6F"/>
          <w:spacing w:val="-10"/>
          <w:w w:val="105"/>
        </w:rPr>
        <w:t> </w:t>
      </w:r>
      <w:r>
        <w:rPr>
          <w:color w:val="696F6F"/>
          <w:w w:val="105"/>
        </w:rPr>
        <w:t>of</w:t>
      </w:r>
      <w:r>
        <w:rPr>
          <w:color w:val="696F6F"/>
          <w:spacing w:val="-10"/>
          <w:w w:val="105"/>
        </w:rPr>
        <w:t> </w:t>
      </w:r>
      <w:r>
        <w:rPr>
          <w:color w:val="696F6F"/>
          <w:w w:val="105"/>
        </w:rPr>
        <w:t>the</w:t>
      </w:r>
      <w:r>
        <w:rPr>
          <w:color w:val="696F6F"/>
          <w:spacing w:val="-10"/>
          <w:w w:val="105"/>
        </w:rPr>
        <w:t> </w:t>
      </w:r>
      <w:r>
        <w:rPr>
          <w:color w:val="696F6F"/>
          <w:w w:val="105"/>
        </w:rPr>
        <w:t>Company</w:t>
      </w:r>
      <w:r>
        <w:rPr>
          <w:color w:val="696F6F"/>
          <w:spacing w:val="-10"/>
          <w:w w:val="105"/>
        </w:rPr>
        <w:t> </w:t>
      </w:r>
      <w:r>
        <w:rPr>
          <w:color w:val="696F6F"/>
          <w:w w:val="105"/>
        </w:rPr>
        <w:t>has</w:t>
      </w:r>
      <w:r>
        <w:rPr>
          <w:color w:val="696F6F"/>
          <w:spacing w:val="-10"/>
          <w:w w:val="105"/>
        </w:rPr>
        <w:t> </w:t>
      </w:r>
      <w:r>
        <w:rPr>
          <w:color w:val="696F6F"/>
          <w:w w:val="105"/>
        </w:rPr>
        <w:t>formulated</w:t>
      </w:r>
      <w:r>
        <w:rPr>
          <w:color w:val="696F6F"/>
          <w:spacing w:val="-10"/>
          <w:w w:val="105"/>
        </w:rPr>
        <w:t> </w:t>
      </w:r>
      <w:r>
        <w:rPr>
          <w:color w:val="696F6F"/>
          <w:w w:val="105"/>
        </w:rPr>
        <w:t>and</w:t>
      </w:r>
      <w:r>
        <w:rPr>
          <w:color w:val="696F6F"/>
          <w:spacing w:val="-10"/>
          <w:w w:val="105"/>
        </w:rPr>
        <w:t> </w:t>
      </w:r>
      <w:r>
        <w:rPr>
          <w:color w:val="696F6F"/>
          <w:w w:val="105"/>
        </w:rPr>
        <w:t>recommended</w:t>
      </w:r>
      <w:r>
        <w:rPr>
          <w:color w:val="696F6F"/>
          <w:spacing w:val="-10"/>
          <w:w w:val="105"/>
        </w:rPr>
        <w:t> </w:t>
      </w:r>
      <w:r>
        <w:rPr>
          <w:color w:val="696F6F"/>
          <w:w w:val="105"/>
        </w:rPr>
        <w:t>to</w:t>
      </w:r>
      <w:r>
        <w:rPr>
          <w:color w:val="696F6F"/>
          <w:spacing w:val="-10"/>
          <w:w w:val="105"/>
        </w:rPr>
        <w:t> </w:t>
      </w:r>
      <w:r>
        <w:rPr>
          <w:color w:val="696F6F"/>
          <w:w w:val="105"/>
        </w:rPr>
        <w:t>the</w:t>
      </w:r>
      <w:r>
        <w:rPr>
          <w:color w:val="696F6F"/>
          <w:spacing w:val="-10"/>
          <w:w w:val="105"/>
        </w:rPr>
        <w:t> </w:t>
      </w:r>
      <w:r>
        <w:rPr>
          <w:color w:val="696F6F"/>
          <w:w w:val="105"/>
        </w:rPr>
        <w:t>Board,</w:t>
      </w:r>
      <w:r>
        <w:rPr>
          <w:color w:val="696F6F"/>
          <w:spacing w:val="-10"/>
          <w:w w:val="105"/>
        </w:rPr>
        <w:t> </w:t>
      </w:r>
      <w:r>
        <w:rPr>
          <w:color w:val="696F6F"/>
          <w:w w:val="105"/>
        </w:rPr>
        <w:t>a </w:t>
      </w:r>
      <w:r>
        <w:rPr>
          <w:color w:val="696F6F"/>
        </w:rPr>
        <w:t>Corporate Social Responsibility Policy (CSR Policy) indicating the activities to be undertaken by the Company, which has been approved by </w:t>
      </w:r>
      <w:r>
        <w:rPr>
          <w:color w:val="696F6F"/>
          <w:w w:val="105"/>
        </w:rPr>
        <w:t>the</w:t>
      </w:r>
      <w:r>
        <w:rPr>
          <w:color w:val="696F6F"/>
          <w:spacing w:val="-8"/>
          <w:w w:val="105"/>
        </w:rPr>
        <w:t> </w:t>
      </w:r>
      <w:r>
        <w:rPr>
          <w:color w:val="696F6F"/>
          <w:w w:val="105"/>
        </w:rPr>
        <w:t>Board.</w:t>
      </w:r>
    </w:p>
    <w:p>
      <w:pPr>
        <w:pStyle w:val="BodyText"/>
        <w:spacing w:before="136"/>
      </w:pPr>
    </w:p>
    <w:p>
      <w:pPr>
        <w:pStyle w:val="BodyText"/>
        <w:spacing w:line="249" w:lineRule="auto" w:before="0"/>
        <w:ind w:left="359"/>
      </w:pPr>
      <w:r>
        <w:rPr>
          <w:color w:val="696F6F"/>
        </w:rPr>
        <w:t>During the year, the Company spent an amount of Rs.XXXX identified as CSR activities. The Annual Report on CSR activities is enclosed as </w:t>
      </w:r>
      <w:r>
        <w:rPr>
          <w:color w:val="696F6F"/>
          <w:w w:val="105"/>
        </w:rPr>
        <w:t>per</w:t>
      </w:r>
      <w:r>
        <w:rPr>
          <w:color w:val="696F6F"/>
          <w:spacing w:val="-8"/>
          <w:w w:val="105"/>
        </w:rPr>
        <w:t> </w:t>
      </w:r>
      <w:r>
        <w:rPr>
          <w:color w:val="696F6F"/>
          <w:w w:val="105"/>
        </w:rPr>
        <w:t>prescribed</w:t>
      </w:r>
      <w:r>
        <w:rPr>
          <w:color w:val="696F6F"/>
          <w:spacing w:val="-8"/>
          <w:w w:val="105"/>
        </w:rPr>
        <w:t> </w:t>
      </w:r>
      <w:r>
        <w:rPr>
          <w:color w:val="696F6F"/>
          <w:w w:val="105"/>
        </w:rPr>
        <w:t>format</w:t>
      </w:r>
      <w:r>
        <w:rPr>
          <w:color w:val="696F6F"/>
          <w:spacing w:val="-8"/>
          <w:w w:val="105"/>
        </w:rPr>
        <w:t> </w:t>
      </w:r>
      <w:r>
        <w:rPr>
          <w:color w:val="696F6F"/>
          <w:w w:val="105"/>
        </w:rPr>
        <w:t>as</w:t>
      </w:r>
      <w:r>
        <w:rPr>
          <w:color w:val="696F6F"/>
          <w:spacing w:val="-8"/>
          <w:w w:val="105"/>
        </w:rPr>
        <w:t> </w:t>
      </w:r>
      <w:r>
        <w:rPr>
          <w:color w:val="696F6F"/>
          <w:w w:val="105"/>
        </w:rPr>
        <w:t>Annexure</w:t>
      </w:r>
      <w:r>
        <w:rPr>
          <w:color w:val="696F6F"/>
          <w:spacing w:val="-8"/>
          <w:w w:val="105"/>
        </w:rPr>
        <w:t> </w:t>
      </w:r>
      <w:r>
        <w:rPr>
          <w:color w:val="696F6F"/>
          <w:w w:val="105"/>
        </w:rPr>
        <w:t>and</w:t>
      </w:r>
      <w:r>
        <w:rPr>
          <w:color w:val="696F6F"/>
          <w:spacing w:val="-8"/>
          <w:w w:val="105"/>
        </w:rPr>
        <w:t> </w:t>
      </w:r>
      <w:r>
        <w:rPr>
          <w:color w:val="696F6F"/>
          <w:w w:val="105"/>
        </w:rPr>
        <w:t>forms</w:t>
      </w:r>
      <w:r>
        <w:rPr>
          <w:color w:val="696F6F"/>
          <w:spacing w:val="-8"/>
          <w:w w:val="105"/>
        </w:rPr>
        <w:t> </w:t>
      </w:r>
      <w:r>
        <w:rPr>
          <w:color w:val="696F6F"/>
          <w:w w:val="105"/>
        </w:rPr>
        <w:t>part</w:t>
      </w:r>
      <w:r>
        <w:rPr>
          <w:color w:val="696F6F"/>
          <w:spacing w:val="-8"/>
          <w:w w:val="105"/>
        </w:rPr>
        <w:t> </w:t>
      </w:r>
      <w:r>
        <w:rPr>
          <w:color w:val="696F6F"/>
          <w:w w:val="105"/>
        </w:rPr>
        <w:t>of</w:t>
      </w:r>
      <w:r>
        <w:rPr>
          <w:color w:val="696F6F"/>
          <w:spacing w:val="-8"/>
          <w:w w:val="105"/>
        </w:rPr>
        <w:t> </w:t>
      </w:r>
      <w:r>
        <w:rPr>
          <w:color w:val="696F6F"/>
          <w:w w:val="105"/>
        </w:rPr>
        <w:t>this</w:t>
      </w:r>
      <w:r>
        <w:rPr>
          <w:color w:val="696F6F"/>
          <w:spacing w:val="-8"/>
          <w:w w:val="105"/>
        </w:rPr>
        <w:t> </w:t>
      </w:r>
      <w:r>
        <w:rPr>
          <w:color w:val="696F6F"/>
          <w:w w:val="105"/>
        </w:rPr>
        <w:t>report.</w:t>
      </w:r>
    </w:p>
    <w:p>
      <w:pPr>
        <w:pStyle w:val="BodyText"/>
        <w:spacing w:before="139"/>
      </w:pPr>
    </w:p>
    <w:p>
      <w:pPr>
        <w:pStyle w:val="Heading1"/>
        <w:spacing w:before="1"/>
      </w:pPr>
      <w:r>
        <w:rPr>
          <w:color w:val="111111"/>
        </w:rPr>
        <w:t>Safe</w:t>
      </w:r>
      <w:r>
        <w:rPr>
          <w:color w:val="111111"/>
          <w:spacing w:val="-1"/>
        </w:rPr>
        <w:t> </w:t>
      </w:r>
      <w:r>
        <w:rPr>
          <w:color w:val="111111"/>
        </w:rPr>
        <w:t>&amp;</w:t>
      </w:r>
      <w:r>
        <w:rPr>
          <w:color w:val="111111"/>
          <w:spacing w:val="-1"/>
        </w:rPr>
        <w:t> </w:t>
      </w:r>
      <w:r>
        <w:rPr>
          <w:color w:val="111111"/>
        </w:rPr>
        <w:t>Conducive</w:t>
      </w:r>
      <w:r>
        <w:rPr>
          <w:color w:val="111111"/>
          <w:spacing w:val="-1"/>
        </w:rPr>
        <w:t> </w:t>
      </w:r>
      <w:r>
        <w:rPr>
          <w:color w:val="111111"/>
          <w:spacing w:val="-2"/>
        </w:rPr>
        <w:t>Workplace</w:t>
      </w:r>
    </w:p>
    <w:p>
      <w:pPr>
        <w:pStyle w:val="BodyText"/>
        <w:spacing w:line="249" w:lineRule="auto" w:before="100"/>
        <w:ind w:left="359" w:right="117"/>
      </w:pPr>
      <w:r>
        <w:rPr>
          <w:color w:val="696F6F"/>
        </w:rPr>
        <w:t>The</w:t>
      </w:r>
      <w:r>
        <w:rPr>
          <w:color w:val="696F6F"/>
          <w:spacing w:val="-1"/>
        </w:rPr>
        <w:t> </w:t>
      </w:r>
      <w:r>
        <w:rPr>
          <w:color w:val="696F6F"/>
        </w:rPr>
        <w:t>Company</w:t>
      </w:r>
      <w:r>
        <w:rPr>
          <w:color w:val="696F6F"/>
          <w:spacing w:val="-1"/>
        </w:rPr>
        <w:t> </w:t>
      </w:r>
      <w:r>
        <w:rPr>
          <w:color w:val="696F6F"/>
        </w:rPr>
        <w:t>is</w:t>
      </w:r>
      <w:r>
        <w:rPr>
          <w:color w:val="696F6F"/>
          <w:spacing w:val="-1"/>
        </w:rPr>
        <w:t> </w:t>
      </w:r>
      <w:r>
        <w:rPr>
          <w:color w:val="696F6F"/>
        </w:rPr>
        <w:t>committed</w:t>
      </w:r>
      <w:r>
        <w:rPr>
          <w:color w:val="696F6F"/>
          <w:spacing w:val="-1"/>
        </w:rPr>
        <w:t> </w:t>
      </w:r>
      <w:r>
        <w:rPr>
          <w:color w:val="696F6F"/>
        </w:rPr>
        <w:t>to</w:t>
      </w:r>
      <w:r>
        <w:rPr>
          <w:color w:val="696F6F"/>
          <w:spacing w:val="-1"/>
        </w:rPr>
        <w:t> </w:t>
      </w:r>
      <w:r>
        <w:rPr>
          <w:color w:val="696F6F"/>
        </w:rPr>
        <w:t>provide</w:t>
      </w:r>
      <w:r>
        <w:rPr>
          <w:color w:val="696F6F"/>
          <w:spacing w:val="-1"/>
        </w:rPr>
        <w:t> </w:t>
      </w:r>
      <w:r>
        <w:rPr>
          <w:color w:val="696F6F"/>
        </w:rPr>
        <w:t>a</w:t>
      </w:r>
      <w:r>
        <w:rPr>
          <w:color w:val="696F6F"/>
          <w:spacing w:val="-1"/>
        </w:rPr>
        <w:t> </w:t>
      </w:r>
      <w:r>
        <w:rPr>
          <w:color w:val="696F6F"/>
        </w:rPr>
        <w:t>safe</w:t>
      </w:r>
      <w:r>
        <w:rPr>
          <w:color w:val="696F6F"/>
          <w:spacing w:val="-1"/>
        </w:rPr>
        <w:t> </w:t>
      </w:r>
      <w:r>
        <w:rPr>
          <w:color w:val="696F6F"/>
        </w:rPr>
        <w:t>and</w:t>
      </w:r>
      <w:r>
        <w:rPr>
          <w:color w:val="696F6F"/>
          <w:spacing w:val="-1"/>
        </w:rPr>
        <w:t> </w:t>
      </w:r>
      <w:r>
        <w:rPr>
          <w:color w:val="696F6F"/>
        </w:rPr>
        <w:t>conducive</w:t>
      </w:r>
      <w:r>
        <w:rPr>
          <w:color w:val="696F6F"/>
          <w:spacing w:val="-1"/>
        </w:rPr>
        <w:t> </w:t>
      </w:r>
      <w:r>
        <w:rPr>
          <w:color w:val="696F6F"/>
        </w:rPr>
        <w:t>work</w:t>
      </w:r>
      <w:r>
        <w:rPr>
          <w:color w:val="696F6F"/>
          <w:spacing w:val="-1"/>
        </w:rPr>
        <w:t> </w:t>
      </w:r>
      <w:r>
        <w:rPr>
          <w:color w:val="696F6F"/>
        </w:rPr>
        <w:t>environment</w:t>
      </w:r>
      <w:r>
        <w:rPr>
          <w:color w:val="696F6F"/>
          <w:spacing w:val="-1"/>
        </w:rPr>
        <w:t> </w:t>
      </w:r>
      <w:r>
        <w:rPr>
          <w:color w:val="696F6F"/>
        </w:rPr>
        <w:t>to</w:t>
      </w:r>
      <w:r>
        <w:rPr>
          <w:color w:val="696F6F"/>
          <w:spacing w:val="-1"/>
        </w:rPr>
        <w:t> </w:t>
      </w:r>
      <w:r>
        <w:rPr>
          <w:color w:val="696F6F"/>
        </w:rPr>
        <w:t>its</w:t>
      </w:r>
      <w:r>
        <w:rPr>
          <w:color w:val="696F6F"/>
          <w:spacing w:val="-1"/>
        </w:rPr>
        <w:t> </w:t>
      </w:r>
      <w:r>
        <w:rPr>
          <w:color w:val="696F6F"/>
        </w:rPr>
        <w:t>employees.</w:t>
      </w:r>
      <w:r>
        <w:rPr>
          <w:color w:val="696F6F"/>
          <w:spacing w:val="-1"/>
        </w:rPr>
        <w:t> </w:t>
      </w:r>
      <w:r>
        <w:rPr>
          <w:color w:val="696F6F"/>
        </w:rPr>
        <w:t>During</w:t>
      </w:r>
      <w:r>
        <w:rPr>
          <w:color w:val="696F6F"/>
          <w:spacing w:val="-1"/>
        </w:rPr>
        <w:t> </w:t>
      </w:r>
      <w:r>
        <w:rPr>
          <w:color w:val="696F6F"/>
        </w:rPr>
        <w:t>the</w:t>
      </w:r>
      <w:r>
        <w:rPr>
          <w:color w:val="696F6F"/>
          <w:spacing w:val="-1"/>
        </w:rPr>
        <w:t> </w:t>
      </w:r>
      <w:r>
        <w:rPr>
          <w:color w:val="696F6F"/>
        </w:rPr>
        <w:t>year</w:t>
      </w:r>
      <w:r>
        <w:rPr>
          <w:color w:val="696F6F"/>
          <w:spacing w:val="-1"/>
        </w:rPr>
        <w:t> </w:t>
      </w:r>
      <w:r>
        <w:rPr>
          <w:color w:val="696F6F"/>
        </w:rPr>
        <w:t>under</w:t>
      </w:r>
      <w:r>
        <w:rPr>
          <w:color w:val="696F6F"/>
          <w:spacing w:val="-1"/>
        </w:rPr>
        <w:t> </w:t>
      </w:r>
      <w:r>
        <w:rPr>
          <w:color w:val="696F6F"/>
        </w:rPr>
        <w:t>review,</w:t>
      </w:r>
      <w:r>
        <w:rPr>
          <w:color w:val="696F6F"/>
          <w:spacing w:val="-1"/>
        </w:rPr>
        <w:t> </w:t>
      </w:r>
      <w:r>
        <w:rPr>
          <w:color w:val="696F6F"/>
        </w:rPr>
        <w:t>there</w:t>
      </w:r>
      <w:r>
        <w:rPr>
          <w:color w:val="696F6F"/>
          <w:spacing w:val="-1"/>
        </w:rPr>
        <w:t> </w:t>
      </w:r>
      <w:r>
        <w:rPr>
          <w:color w:val="696F6F"/>
        </w:rPr>
        <w:t>were no cases filed pursuant to the Sexual Harassment of Women at Workplace (Prevention, Prohibition and Redressal) Act, 2013.</w:t>
      </w:r>
    </w:p>
    <w:p>
      <w:pPr>
        <w:pStyle w:val="BodyText"/>
        <w:spacing w:before="140"/>
      </w:pPr>
    </w:p>
    <w:p>
      <w:pPr>
        <w:pStyle w:val="Heading1"/>
      </w:pPr>
      <w:r>
        <w:rPr>
          <w:color w:val="111111"/>
        </w:rPr>
        <w:t>Directors</w:t>
      </w:r>
      <w:r>
        <w:rPr>
          <w:color w:val="111111"/>
          <w:spacing w:val="-1"/>
        </w:rPr>
        <w:t> </w:t>
      </w:r>
      <w:r>
        <w:rPr>
          <w:color w:val="111111"/>
        </w:rPr>
        <w:t>Responsibility</w:t>
      </w:r>
      <w:r>
        <w:rPr>
          <w:color w:val="111111"/>
          <w:spacing w:val="-1"/>
        </w:rPr>
        <w:t> </w:t>
      </w:r>
      <w:r>
        <w:rPr>
          <w:color w:val="111111"/>
          <w:spacing w:val="-2"/>
        </w:rPr>
        <w:t>Statement</w:t>
      </w:r>
    </w:p>
    <w:p>
      <w:pPr>
        <w:pStyle w:val="BodyText"/>
        <w:ind w:left="359"/>
      </w:pPr>
      <w:r>
        <w:rPr>
          <w:color w:val="696F6F"/>
        </w:rPr>
        <w:t>Pursuant</w:t>
      </w:r>
      <w:r>
        <w:rPr>
          <w:color w:val="696F6F"/>
          <w:spacing w:val="-1"/>
        </w:rPr>
        <w:t> </w:t>
      </w:r>
      <w:r>
        <w:rPr>
          <w:color w:val="696F6F"/>
        </w:rPr>
        <w:t>to</w:t>
      </w:r>
      <w:r>
        <w:rPr>
          <w:color w:val="696F6F"/>
          <w:spacing w:val="-1"/>
        </w:rPr>
        <w:t> </w:t>
      </w:r>
      <w:r>
        <w:rPr>
          <w:color w:val="696F6F"/>
        </w:rPr>
        <w:t>Section</w:t>
      </w:r>
      <w:r>
        <w:rPr>
          <w:color w:val="696F6F"/>
          <w:spacing w:val="-1"/>
        </w:rPr>
        <w:t> </w:t>
      </w:r>
      <w:r>
        <w:rPr>
          <w:color w:val="696F6F"/>
        </w:rPr>
        <w:t>134(3)</w:t>
      </w:r>
      <w:r>
        <w:rPr>
          <w:color w:val="696F6F"/>
          <w:spacing w:val="-1"/>
        </w:rPr>
        <w:t> </w:t>
      </w:r>
      <w:r>
        <w:rPr>
          <w:color w:val="696F6F"/>
        </w:rPr>
        <w:t>(c)</w:t>
      </w:r>
      <w:r>
        <w:rPr>
          <w:color w:val="696F6F"/>
          <w:spacing w:val="-1"/>
        </w:rPr>
        <w:t> </w:t>
      </w:r>
      <w:r>
        <w:rPr>
          <w:color w:val="696F6F"/>
        </w:rPr>
        <w:t>of</w:t>
      </w:r>
      <w:r>
        <w:rPr>
          <w:color w:val="696F6F"/>
          <w:spacing w:val="-1"/>
        </w:rPr>
        <w:t> </w:t>
      </w:r>
      <w:r>
        <w:rPr>
          <w:color w:val="696F6F"/>
        </w:rPr>
        <w:t>the</w:t>
      </w:r>
      <w:r>
        <w:rPr>
          <w:color w:val="696F6F"/>
          <w:spacing w:val="-1"/>
        </w:rPr>
        <w:t> </w:t>
      </w:r>
      <w:r>
        <w:rPr>
          <w:color w:val="696F6F"/>
        </w:rPr>
        <w:t>Companies Act,</w:t>
      </w:r>
      <w:r>
        <w:rPr>
          <w:color w:val="696F6F"/>
          <w:spacing w:val="-1"/>
        </w:rPr>
        <w:t> </w:t>
      </w:r>
      <w:r>
        <w:rPr>
          <w:color w:val="696F6F"/>
        </w:rPr>
        <w:t>2013</w:t>
      </w:r>
      <w:r>
        <w:rPr>
          <w:color w:val="696F6F"/>
          <w:spacing w:val="-1"/>
        </w:rPr>
        <w:t> </w:t>
      </w:r>
      <w:r>
        <w:rPr>
          <w:color w:val="696F6F"/>
        </w:rPr>
        <w:t>the</w:t>
      </w:r>
      <w:r>
        <w:rPr>
          <w:color w:val="696F6F"/>
          <w:spacing w:val="-1"/>
        </w:rPr>
        <w:t> </w:t>
      </w:r>
      <w:r>
        <w:rPr>
          <w:color w:val="696F6F"/>
        </w:rPr>
        <w:t>Board</w:t>
      </w:r>
      <w:r>
        <w:rPr>
          <w:color w:val="696F6F"/>
          <w:spacing w:val="-1"/>
        </w:rPr>
        <w:t> </w:t>
      </w:r>
      <w:r>
        <w:rPr>
          <w:color w:val="696F6F"/>
        </w:rPr>
        <w:t>of</w:t>
      </w:r>
      <w:r>
        <w:rPr>
          <w:color w:val="696F6F"/>
          <w:spacing w:val="-1"/>
        </w:rPr>
        <w:t> </w:t>
      </w:r>
      <w:r>
        <w:rPr>
          <w:color w:val="696F6F"/>
        </w:rPr>
        <w:t>Directors</w:t>
      </w:r>
      <w:r>
        <w:rPr>
          <w:color w:val="696F6F"/>
          <w:spacing w:val="-1"/>
        </w:rPr>
        <w:t> </w:t>
      </w:r>
      <w:r>
        <w:rPr>
          <w:color w:val="696F6F"/>
        </w:rPr>
        <w:t>of</w:t>
      </w:r>
      <w:r>
        <w:rPr>
          <w:color w:val="696F6F"/>
          <w:spacing w:val="-1"/>
        </w:rPr>
        <w:t> </w:t>
      </w:r>
      <w:r>
        <w:rPr>
          <w:color w:val="696F6F"/>
        </w:rPr>
        <w:t>the Company</w:t>
      </w:r>
      <w:r>
        <w:rPr>
          <w:color w:val="696F6F"/>
          <w:spacing w:val="-1"/>
        </w:rPr>
        <w:t> </w:t>
      </w:r>
      <w:r>
        <w:rPr>
          <w:color w:val="696F6F"/>
        </w:rPr>
        <w:t>confirms</w:t>
      </w:r>
      <w:r>
        <w:rPr>
          <w:color w:val="696F6F"/>
          <w:spacing w:val="-1"/>
        </w:rPr>
        <w:t> </w:t>
      </w:r>
      <w:r>
        <w:rPr>
          <w:color w:val="696F6F"/>
          <w:spacing w:val="-2"/>
        </w:rPr>
        <w:t>that-</w:t>
      </w:r>
    </w:p>
    <w:p>
      <w:pPr>
        <w:pStyle w:val="BodyText"/>
        <w:spacing w:before="142"/>
      </w:pPr>
    </w:p>
    <w:p>
      <w:pPr>
        <w:pStyle w:val="ListParagraph"/>
        <w:numPr>
          <w:ilvl w:val="0"/>
          <w:numId w:val="2"/>
        </w:numPr>
        <w:tabs>
          <w:tab w:pos="1079" w:val="left" w:leader="none"/>
        </w:tabs>
        <w:spacing w:line="249" w:lineRule="auto" w:before="0" w:after="0"/>
        <w:ind w:left="1079" w:right="336" w:hanging="360"/>
        <w:jc w:val="left"/>
        <w:rPr>
          <w:sz w:val="15"/>
        </w:rPr>
      </w:pPr>
      <w:r>
        <w:rPr>
          <w:color w:val="333333"/>
          <w:sz w:val="15"/>
        </w:rPr>
        <w:t>In the preparation of the annual accounts for the year ended March 31, 20XX, the applicable accounting standards read with requirements</w:t>
      </w:r>
      <w:r>
        <w:rPr>
          <w:color w:val="333333"/>
          <w:spacing w:val="-2"/>
          <w:sz w:val="15"/>
        </w:rPr>
        <w:t> </w:t>
      </w:r>
      <w:r>
        <w:rPr>
          <w:color w:val="333333"/>
          <w:sz w:val="15"/>
        </w:rPr>
        <w:t>set</w:t>
      </w:r>
      <w:r>
        <w:rPr>
          <w:color w:val="333333"/>
          <w:spacing w:val="-2"/>
          <w:sz w:val="15"/>
        </w:rPr>
        <w:t> </w:t>
      </w:r>
      <w:r>
        <w:rPr>
          <w:color w:val="333333"/>
          <w:sz w:val="15"/>
        </w:rPr>
        <w:t>out</w:t>
      </w:r>
      <w:r>
        <w:rPr>
          <w:color w:val="333333"/>
          <w:spacing w:val="-2"/>
          <w:sz w:val="15"/>
        </w:rPr>
        <w:t> </w:t>
      </w:r>
      <w:r>
        <w:rPr>
          <w:color w:val="333333"/>
          <w:sz w:val="15"/>
        </w:rPr>
        <w:t>under</w:t>
      </w:r>
      <w:r>
        <w:rPr>
          <w:color w:val="333333"/>
          <w:spacing w:val="-2"/>
          <w:sz w:val="15"/>
        </w:rPr>
        <w:t> </w:t>
      </w:r>
      <w:r>
        <w:rPr>
          <w:color w:val="333333"/>
          <w:sz w:val="15"/>
        </w:rPr>
        <w:t>Schedule</w:t>
      </w:r>
      <w:r>
        <w:rPr>
          <w:color w:val="333333"/>
          <w:spacing w:val="-2"/>
          <w:sz w:val="15"/>
        </w:rPr>
        <w:t> </w:t>
      </w:r>
      <w:r>
        <w:rPr>
          <w:color w:val="333333"/>
          <w:sz w:val="15"/>
        </w:rPr>
        <w:t>III</w:t>
      </w:r>
      <w:r>
        <w:rPr>
          <w:color w:val="333333"/>
          <w:spacing w:val="-2"/>
          <w:sz w:val="15"/>
        </w:rPr>
        <w:t> </w:t>
      </w:r>
      <w:r>
        <w:rPr>
          <w:color w:val="333333"/>
          <w:sz w:val="15"/>
        </w:rPr>
        <w:t>to</w:t>
      </w:r>
      <w:r>
        <w:rPr>
          <w:color w:val="333333"/>
          <w:spacing w:val="-2"/>
          <w:sz w:val="15"/>
        </w:rPr>
        <w:t> </w:t>
      </w:r>
      <w:r>
        <w:rPr>
          <w:color w:val="333333"/>
          <w:sz w:val="15"/>
        </w:rPr>
        <w:t>the</w:t>
      </w:r>
      <w:r>
        <w:rPr>
          <w:color w:val="333333"/>
          <w:spacing w:val="-2"/>
          <w:sz w:val="15"/>
        </w:rPr>
        <w:t> </w:t>
      </w:r>
      <w:r>
        <w:rPr>
          <w:color w:val="333333"/>
          <w:sz w:val="15"/>
        </w:rPr>
        <w:t>Act,</w:t>
      </w:r>
      <w:r>
        <w:rPr>
          <w:color w:val="333333"/>
          <w:spacing w:val="-2"/>
          <w:sz w:val="15"/>
        </w:rPr>
        <w:t> </w:t>
      </w:r>
      <w:r>
        <w:rPr>
          <w:color w:val="333333"/>
          <w:sz w:val="15"/>
        </w:rPr>
        <w:t>have</w:t>
      </w:r>
      <w:r>
        <w:rPr>
          <w:color w:val="333333"/>
          <w:spacing w:val="-2"/>
          <w:sz w:val="15"/>
        </w:rPr>
        <w:t> </w:t>
      </w:r>
      <w:r>
        <w:rPr>
          <w:color w:val="333333"/>
          <w:sz w:val="15"/>
        </w:rPr>
        <w:t>been</w:t>
      </w:r>
      <w:r>
        <w:rPr>
          <w:color w:val="333333"/>
          <w:spacing w:val="-2"/>
          <w:sz w:val="15"/>
        </w:rPr>
        <w:t> </w:t>
      </w:r>
      <w:r>
        <w:rPr>
          <w:color w:val="333333"/>
          <w:sz w:val="15"/>
        </w:rPr>
        <w:t>followed</w:t>
      </w:r>
      <w:r>
        <w:rPr>
          <w:color w:val="333333"/>
          <w:spacing w:val="-2"/>
          <w:sz w:val="15"/>
        </w:rPr>
        <w:t> </w:t>
      </w:r>
      <w:r>
        <w:rPr>
          <w:color w:val="333333"/>
          <w:sz w:val="15"/>
        </w:rPr>
        <w:t>and</w:t>
      </w:r>
      <w:r>
        <w:rPr>
          <w:color w:val="333333"/>
          <w:spacing w:val="-2"/>
          <w:sz w:val="15"/>
        </w:rPr>
        <w:t> </w:t>
      </w:r>
      <w:r>
        <w:rPr>
          <w:color w:val="333333"/>
          <w:sz w:val="15"/>
        </w:rPr>
        <w:t>there</w:t>
      </w:r>
      <w:r>
        <w:rPr>
          <w:color w:val="333333"/>
          <w:spacing w:val="-2"/>
          <w:sz w:val="15"/>
        </w:rPr>
        <w:t> </w:t>
      </w:r>
      <w:r>
        <w:rPr>
          <w:color w:val="333333"/>
          <w:sz w:val="15"/>
        </w:rPr>
        <w:t>are</w:t>
      </w:r>
      <w:r>
        <w:rPr>
          <w:color w:val="333333"/>
          <w:spacing w:val="-2"/>
          <w:sz w:val="15"/>
        </w:rPr>
        <w:t> </w:t>
      </w:r>
      <w:r>
        <w:rPr>
          <w:color w:val="333333"/>
          <w:sz w:val="15"/>
        </w:rPr>
        <w:t>no</w:t>
      </w:r>
      <w:r>
        <w:rPr>
          <w:color w:val="333333"/>
          <w:spacing w:val="-2"/>
          <w:sz w:val="15"/>
        </w:rPr>
        <w:t> </w:t>
      </w:r>
      <w:r>
        <w:rPr>
          <w:color w:val="333333"/>
          <w:sz w:val="15"/>
        </w:rPr>
        <w:t>material</w:t>
      </w:r>
      <w:r>
        <w:rPr>
          <w:color w:val="333333"/>
          <w:spacing w:val="-2"/>
          <w:sz w:val="15"/>
        </w:rPr>
        <w:t> </w:t>
      </w:r>
      <w:r>
        <w:rPr>
          <w:color w:val="333333"/>
          <w:sz w:val="15"/>
        </w:rPr>
        <w:t>departures</w:t>
      </w:r>
      <w:r>
        <w:rPr>
          <w:color w:val="333333"/>
          <w:spacing w:val="-2"/>
          <w:sz w:val="15"/>
        </w:rPr>
        <w:t> </w:t>
      </w:r>
      <w:r>
        <w:rPr>
          <w:color w:val="333333"/>
          <w:sz w:val="15"/>
        </w:rPr>
        <w:t>from</w:t>
      </w:r>
      <w:r>
        <w:rPr>
          <w:color w:val="333333"/>
          <w:spacing w:val="-2"/>
          <w:sz w:val="15"/>
        </w:rPr>
        <w:t> </w:t>
      </w:r>
      <w:r>
        <w:rPr>
          <w:color w:val="333333"/>
          <w:sz w:val="15"/>
        </w:rPr>
        <w:t>the</w:t>
      </w:r>
      <w:r>
        <w:rPr>
          <w:color w:val="333333"/>
          <w:spacing w:val="-2"/>
          <w:sz w:val="15"/>
        </w:rPr>
        <w:t> </w:t>
      </w:r>
      <w:r>
        <w:rPr>
          <w:color w:val="333333"/>
          <w:sz w:val="15"/>
        </w:rPr>
        <w:t>same.</w:t>
      </w:r>
    </w:p>
    <w:p>
      <w:pPr>
        <w:pStyle w:val="ListParagraph"/>
        <w:numPr>
          <w:ilvl w:val="0"/>
          <w:numId w:val="2"/>
        </w:numPr>
        <w:tabs>
          <w:tab w:pos="1079" w:val="left" w:leader="none"/>
        </w:tabs>
        <w:spacing w:line="249" w:lineRule="auto" w:before="1" w:after="0"/>
        <w:ind w:left="1079" w:right="25" w:hanging="360"/>
        <w:jc w:val="left"/>
        <w:rPr>
          <w:sz w:val="15"/>
        </w:rPr>
      </w:pPr>
      <w:r>
        <w:rPr>
          <w:color w:val="333333"/>
          <w:sz w:val="15"/>
        </w:rPr>
        <w:t>The Directors have selected such accounting policies and applied them consistently and made judgments and estimates that are reasonable and prudent so as to give a true and fair view of the state of affairs of the Company as at March 31,20XX and of the profit of the Company for the year ended on that date.</w:t>
      </w:r>
    </w:p>
    <w:p>
      <w:pPr>
        <w:pStyle w:val="ListParagraph"/>
        <w:numPr>
          <w:ilvl w:val="0"/>
          <w:numId w:val="2"/>
        </w:numPr>
        <w:tabs>
          <w:tab w:pos="1079" w:val="left" w:leader="none"/>
        </w:tabs>
        <w:spacing w:line="249" w:lineRule="auto" w:before="2" w:after="0"/>
        <w:ind w:left="1079" w:right="91" w:hanging="360"/>
        <w:jc w:val="left"/>
        <w:rPr>
          <w:sz w:val="15"/>
        </w:rPr>
      </w:pPr>
      <w:r>
        <w:rPr>
          <w:color w:val="333333"/>
          <w:sz w:val="15"/>
        </w:rPr>
        <w:t>The Directors have taken proper and sufficient care for the maintenance of adequate accounting records in accordance with the provisions</w:t>
      </w:r>
      <w:r>
        <w:rPr>
          <w:color w:val="333333"/>
          <w:spacing w:val="-1"/>
          <w:sz w:val="15"/>
        </w:rPr>
        <w:t> </w:t>
      </w:r>
      <w:r>
        <w:rPr>
          <w:color w:val="333333"/>
          <w:sz w:val="15"/>
        </w:rPr>
        <w:t>of</w:t>
      </w:r>
      <w:r>
        <w:rPr>
          <w:color w:val="333333"/>
          <w:spacing w:val="-1"/>
          <w:sz w:val="15"/>
        </w:rPr>
        <w:t> </w:t>
      </w:r>
      <w:r>
        <w:rPr>
          <w:color w:val="333333"/>
          <w:sz w:val="15"/>
        </w:rPr>
        <w:t>the</w:t>
      </w:r>
      <w:r>
        <w:rPr>
          <w:color w:val="333333"/>
          <w:spacing w:val="-1"/>
          <w:sz w:val="15"/>
        </w:rPr>
        <w:t> </w:t>
      </w:r>
      <w:r>
        <w:rPr>
          <w:color w:val="333333"/>
          <w:sz w:val="15"/>
        </w:rPr>
        <w:t>Act</w:t>
      </w:r>
      <w:r>
        <w:rPr>
          <w:color w:val="333333"/>
          <w:spacing w:val="-1"/>
          <w:sz w:val="15"/>
        </w:rPr>
        <w:t> </w:t>
      </w:r>
      <w:r>
        <w:rPr>
          <w:color w:val="333333"/>
          <w:sz w:val="15"/>
        </w:rPr>
        <w:t>for</w:t>
      </w:r>
      <w:r>
        <w:rPr>
          <w:color w:val="333333"/>
          <w:spacing w:val="-1"/>
          <w:sz w:val="15"/>
        </w:rPr>
        <w:t> </w:t>
      </w:r>
      <w:r>
        <w:rPr>
          <w:color w:val="333333"/>
          <w:sz w:val="15"/>
        </w:rPr>
        <w:t>safeguarding</w:t>
      </w:r>
      <w:r>
        <w:rPr>
          <w:color w:val="333333"/>
          <w:spacing w:val="-1"/>
          <w:sz w:val="15"/>
        </w:rPr>
        <w:t> </w:t>
      </w:r>
      <w:r>
        <w:rPr>
          <w:color w:val="333333"/>
          <w:sz w:val="15"/>
        </w:rPr>
        <w:t>the</w:t>
      </w:r>
      <w:r>
        <w:rPr>
          <w:color w:val="333333"/>
          <w:spacing w:val="-1"/>
          <w:sz w:val="15"/>
        </w:rPr>
        <w:t> </w:t>
      </w:r>
      <w:r>
        <w:rPr>
          <w:color w:val="333333"/>
          <w:sz w:val="15"/>
        </w:rPr>
        <w:t>assets</w:t>
      </w:r>
      <w:r>
        <w:rPr>
          <w:color w:val="333333"/>
          <w:spacing w:val="-1"/>
          <w:sz w:val="15"/>
        </w:rPr>
        <w:t> </w:t>
      </w:r>
      <w:r>
        <w:rPr>
          <w:color w:val="333333"/>
          <w:sz w:val="15"/>
        </w:rPr>
        <w:t>of</w:t>
      </w:r>
      <w:r>
        <w:rPr>
          <w:color w:val="333333"/>
          <w:spacing w:val="-1"/>
          <w:sz w:val="15"/>
        </w:rPr>
        <w:t> </w:t>
      </w:r>
      <w:r>
        <w:rPr>
          <w:color w:val="333333"/>
          <w:sz w:val="15"/>
        </w:rPr>
        <w:t>the</w:t>
      </w:r>
      <w:r>
        <w:rPr>
          <w:color w:val="333333"/>
          <w:spacing w:val="-1"/>
          <w:sz w:val="15"/>
        </w:rPr>
        <w:t> </w:t>
      </w:r>
      <w:r>
        <w:rPr>
          <w:color w:val="333333"/>
          <w:sz w:val="15"/>
        </w:rPr>
        <w:t>Company</w:t>
      </w:r>
      <w:r>
        <w:rPr>
          <w:color w:val="333333"/>
          <w:spacing w:val="-1"/>
          <w:sz w:val="15"/>
        </w:rPr>
        <w:t> </w:t>
      </w:r>
      <w:r>
        <w:rPr>
          <w:color w:val="333333"/>
          <w:sz w:val="15"/>
        </w:rPr>
        <w:t>and</w:t>
      </w:r>
      <w:r>
        <w:rPr>
          <w:color w:val="333333"/>
          <w:spacing w:val="-1"/>
          <w:sz w:val="15"/>
        </w:rPr>
        <w:t> </w:t>
      </w:r>
      <w:r>
        <w:rPr>
          <w:color w:val="333333"/>
          <w:sz w:val="15"/>
        </w:rPr>
        <w:t>for</w:t>
      </w:r>
      <w:r>
        <w:rPr>
          <w:color w:val="333333"/>
          <w:spacing w:val="-1"/>
          <w:sz w:val="15"/>
        </w:rPr>
        <w:t> </w:t>
      </w:r>
      <w:r>
        <w:rPr>
          <w:color w:val="333333"/>
          <w:sz w:val="15"/>
        </w:rPr>
        <w:t>preventing</w:t>
      </w:r>
      <w:r>
        <w:rPr>
          <w:color w:val="333333"/>
          <w:spacing w:val="-1"/>
          <w:sz w:val="15"/>
        </w:rPr>
        <w:t> </w:t>
      </w:r>
      <w:r>
        <w:rPr>
          <w:color w:val="333333"/>
          <w:sz w:val="15"/>
        </w:rPr>
        <w:t>and</w:t>
      </w:r>
      <w:r>
        <w:rPr>
          <w:color w:val="333333"/>
          <w:spacing w:val="-1"/>
          <w:sz w:val="15"/>
        </w:rPr>
        <w:t> </w:t>
      </w:r>
      <w:r>
        <w:rPr>
          <w:color w:val="333333"/>
          <w:sz w:val="15"/>
        </w:rPr>
        <w:t>detecting</w:t>
      </w:r>
      <w:r>
        <w:rPr>
          <w:color w:val="333333"/>
          <w:spacing w:val="-1"/>
          <w:sz w:val="15"/>
        </w:rPr>
        <w:t> </w:t>
      </w:r>
      <w:r>
        <w:rPr>
          <w:color w:val="333333"/>
          <w:sz w:val="15"/>
        </w:rPr>
        <w:t>fraud</w:t>
      </w:r>
      <w:r>
        <w:rPr>
          <w:color w:val="333333"/>
          <w:spacing w:val="-1"/>
          <w:sz w:val="15"/>
        </w:rPr>
        <w:t> </w:t>
      </w:r>
      <w:r>
        <w:rPr>
          <w:color w:val="333333"/>
          <w:sz w:val="15"/>
        </w:rPr>
        <w:t>and</w:t>
      </w:r>
      <w:r>
        <w:rPr>
          <w:color w:val="333333"/>
          <w:spacing w:val="-1"/>
          <w:sz w:val="15"/>
        </w:rPr>
        <w:t> </w:t>
      </w:r>
      <w:r>
        <w:rPr>
          <w:color w:val="333333"/>
          <w:sz w:val="15"/>
        </w:rPr>
        <w:t>other</w:t>
      </w:r>
      <w:r>
        <w:rPr>
          <w:color w:val="333333"/>
          <w:spacing w:val="-1"/>
          <w:sz w:val="15"/>
        </w:rPr>
        <w:t> </w:t>
      </w:r>
      <w:r>
        <w:rPr>
          <w:color w:val="333333"/>
          <w:sz w:val="15"/>
        </w:rPr>
        <w:t>irregularities.</w:t>
      </w:r>
    </w:p>
    <w:p>
      <w:pPr>
        <w:pStyle w:val="ListParagraph"/>
        <w:numPr>
          <w:ilvl w:val="0"/>
          <w:numId w:val="2"/>
        </w:numPr>
        <w:tabs>
          <w:tab w:pos="1079" w:val="left" w:leader="none"/>
        </w:tabs>
        <w:spacing w:line="240" w:lineRule="auto" w:before="2" w:after="0"/>
        <w:ind w:left="1079" w:right="0" w:hanging="360"/>
        <w:jc w:val="left"/>
        <w:rPr>
          <w:sz w:val="15"/>
        </w:rPr>
      </w:pPr>
      <w:r>
        <w:rPr>
          <w:color w:val="333333"/>
          <w:sz w:val="15"/>
        </w:rPr>
        <w:t>The</w:t>
      </w:r>
      <w:r>
        <w:rPr>
          <w:color w:val="333333"/>
          <w:spacing w:val="3"/>
          <w:sz w:val="15"/>
        </w:rPr>
        <w:t> </w:t>
      </w:r>
      <w:r>
        <w:rPr>
          <w:color w:val="333333"/>
          <w:sz w:val="15"/>
        </w:rPr>
        <w:t>Directors</w:t>
      </w:r>
      <w:r>
        <w:rPr>
          <w:color w:val="333333"/>
          <w:spacing w:val="3"/>
          <w:sz w:val="15"/>
        </w:rPr>
        <w:t> </w:t>
      </w:r>
      <w:r>
        <w:rPr>
          <w:color w:val="333333"/>
          <w:sz w:val="15"/>
        </w:rPr>
        <w:t>have</w:t>
      </w:r>
      <w:r>
        <w:rPr>
          <w:color w:val="333333"/>
          <w:spacing w:val="3"/>
          <w:sz w:val="15"/>
        </w:rPr>
        <w:t> </w:t>
      </w:r>
      <w:r>
        <w:rPr>
          <w:color w:val="333333"/>
          <w:sz w:val="15"/>
        </w:rPr>
        <w:t>prepared</w:t>
      </w:r>
      <w:r>
        <w:rPr>
          <w:color w:val="333333"/>
          <w:spacing w:val="3"/>
          <w:sz w:val="15"/>
        </w:rPr>
        <w:t> </w:t>
      </w:r>
      <w:r>
        <w:rPr>
          <w:color w:val="333333"/>
          <w:sz w:val="15"/>
        </w:rPr>
        <w:t>the</w:t>
      </w:r>
      <w:r>
        <w:rPr>
          <w:color w:val="333333"/>
          <w:spacing w:val="4"/>
          <w:sz w:val="15"/>
        </w:rPr>
        <w:t> </w:t>
      </w:r>
      <w:r>
        <w:rPr>
          <w:color w:val="333333"/>
          <w:sz w:val="15"/>
        </w:rPr>
        <w:t>annual</w:t>
      </w:r>
      <w:r>
        <w:rPr>
          <w:color w:val="333333"/>
          <w:spacing w:val="3"/>
          <w:sz w:val="15"/>
        </w:rPr>
        <w:t> </w:t>
      </w:r>
      <w:r>
        <w:rPr>
          <w:color w:val="333333"/>
          <w:sz w:val="15"/>
        </w:rPr>
        <w:t>accounts</w:t>
      </w:r>
      <w:r>
        <w:rPr>
          <w:color w:val="333333"/>
          <w:spacing w:val="3"/>
          <w:sz w:val="15"/>
        </w:rPr>
        <w:t> </w:t>
      </w:r>
      <w:r>
        <w:rPr>
          <w:color w:val="333333"/>
          <w:sz w:val="15"/>
        </w:rPr>
        <w:t>on</w:t>
      </w:r>
      <w:r>
        <w:rPr>
          <w:color w:val="333333"/>
          <w:spacing w:val="3"/>
          <w:sz w:val="15"/>
        </w:rPr>
        <w:t> </w:t>
      </w:r>
      <w:r>
        <w:rPr>
          <w:color w:val="333333"/>
          <w:sz w:val="15"/>
        </w:rPr>
        <w:t>a</w:t>
      </w:r>
      <w:r>
        <w:rPr>
          <w:color w:val="333333"/>
          <w:spacing w:val="3"/>
          <w:sz w:val="15"/>
        </w:rPr>
        <w:t> </w:t>
      </w:r>
      <w:r>
        <w:rPr>
          <w:color w:val="333333"/>
          <w:sz w:val="15"/>
        </w:rPr>
        <w:t>‘going</w:t>
      </w:r>
      <w:r>
        <w:rPr>
          <w:color w:val="333333"/>
          <w:spacing w:val="4"/>
          <w:sz w:val="15"/>
        </w:rPr>
        <w:t> </w:t>
      </w:r>
      <w:r>
        <w:rPr>
          <w:color w:val="333333"/>
          <w:sz w:val="15"/>
        </w:rPr>
        <w:t>concern’</w:t>
      </w:r>
      <w:r>
        <w:rPr>
          <w:color w:val="333333"/>
          <w:spacing w:val="3"/>
          <w:sz w:val="15"/>
        </w:rPr>
        <w:t> </w:t>
      </w:r>
      <w:r>
        <w:rPr>
          <w:color w:val="333333"/>
          <w:spacing w:val="-2"/>
          <w:sz w:val="15"/>
        </w:rPr>
        <w:t>basis.</w:t>
      </w:r>
    </w:p>
    <w:p>
      <w:pPr>
        <w:pStyle w:val="ListParagraph"/>
        <w:spacing w:after="0" w:line="240" w:lineRule="auto"/>
        <w:jc w:val="left"/>
        <w:rPr>
          <w:sz w:val="15"/>
        </w:rPr>
        <w:sectPr>
          <w:pgSz w:w="12240" w:h="15840"/>
          <w:pgMar w:top="1440" w:bottom="280" w:left="1080" w:right="1440"/>
        </w:sectPr>
      </w:pPr>
    </w:p>
    <w:p>
      <w:pPr>
        <w:pStyle w:val="ListParagraph"/>
        <w:numPr>
          <w:ilvl w:val="0"/>
          <w:numId w:val="2"/>
        </w:numPr>
        <w:tabs>
          <w:tab w:pos="1079" w:val="left" w:leader="none"/>
        </w:tabs>
        <w:spacing w:line="249" w:lineRule="auto" w:before="76" w:after="0"/>
        <w:ind w:left="1079" w:right="381" w:hanging="360"/>
        <w:jc w:val="left"/>
        <w:rPr>
          <w:sz w:val="15"/>
        </w:rPr>
      </w:pPr>
      <w:r>
        <w:rPr>
          <w:color w:val="333333"/>
          <w:sz w:val="15"/>
        </w:rPr>
        <w:t>The</w:t>
      </w:r>
      <w:r>
        <w:rPr>
          <w:color w:val="333333"/>
          <w:spacing w:val="-2"/>
          <w:sz w:val="15"/>
        </w:rPr>
        <w:t> </w:t>
      </w:r>
      <w:r>
        <w:rPr>
          <w:color w:val="333333"/>
          <w:sz w:val="15"/>
        </w:rPr>
        <w:t>Company</w:t>
      </w:r>
      <w:r>
        <w:rPr>
          <w:color w:val="333333"/>
          <w:spacing w:val="-2"/>
          <w:sz w:val="15"/>
        </w:rPr>
        <w:t> </w:t>
      </w:r>
      <w:r>
        <w:rPr>
          <w:color w:val="333333"/>
          <w:sz w:val="15"/>
        </w:rPr>
        <w:t>being</w:t>
      </w:r>
      <w:r>
        <w:rPr>
          <w:color w:val="333333"/>
          <w:spacing w:val="-2"/>
          <w:sz w:val="15"/>
        </w:rPr>
        <w:t> </w:t>
      </w:r>
      <w:r>
        <w:rPr>
          <w:color w:val="333333"/>
          <w:sz w:val="15"/>
        </w:rPr>
        <w:t>unlisted,</w:t>
      </w:r>
      <w:r>
        <w:rPr>
          <w:color w:val="333333"/>
          <w:spacing w:val="-2"/>
          <w:sz w:val="15"/>
        </w:rPr>
        <w:t> </w:t>
      </w:r>
      <w:r>
        <w:rPr>
          <w:color w:val="333333"/>
          <w:sz w:val="15"/>
        </w:rPr>
        <w:t>sub</w:t>
      </w:r>
      <w:r>
        <w:rPr>
          <w:color w:val="333333"/>
          <w:spacing w:val="-2"/>
          <w:sz w:val="15"/>
        </w:rPr>
        <w:t> </w:t>
      </w:r>
      <w:r>
        <w:rPr>
          <w:color w:val="333333"/>
          <w:sz w:val="15"/>
        </w:rPr>
        <w:t>clause</w:t>
      </w:r>
      <w:r>
        <w:rPr>
          <w:color w:val="333333"/>
          <w:spacing w:val="-2"/>
          <w:sz w:val="15"/>
        </w:rPr>
        <w:t> </w:t>
      </w:r>
      <w:r>
        <w:rPr>
          <w:color w:val="333333"/>
          <w:sz w:val="15"/>
        </w:rPr>
        <w:t>(e)</w:t>
      </w:r>
      <w:r>
        <w:rPr>
          <w:color w:val="333333"/>
          <w:spacing w:val="-2"/>
          <w:sz w:val="15"/>
        </w:rPr>
        <w:t> </w:t>
      </w:r>
      <w:r>
        <w:rPr>
          <w:color w:val="333333"/>
          <w:sz w:val="15"/>
        </w:rPr>
        <w:t>of</w:t>
      </w:r>
      <w:r>
        <w:rPr>
          <w:color w:val="333333"/>
          <w:spacing w:val="-2"/>
          <w:sz w:val="15"/>
        </w:rPr>
        <w:t> </w:t>
      </w:r>
      <w:r>
        <w:rPr>
          <w:color w:val="333333"/>
          <w:sz w:val="15"/>
        </w:rPr>
        <w:t>section</w:t>
      </w:r>
      <w:r>
        <w:rPr>
          <w:color w:val="333333"/>
          <w:spacing w:val="-2"/>
          <w:sz w:val="15"/>
        </w:rPr>
        <w:t> </w:t>
      </w:r>
      <w:r>
        <w:rPr>
          <w:color w:val="333333"/>
          <w:sz w:val="15"/>
        </w:rPr>
        <w:t>134(3)</w:t>
      </w:r>
      <w:r>
        <w:rPr>
          <w:color w:val="333333"/>
          <w:spacing w:val="-2"/>
          <w:sz w:val="15"/>
        </w:rPr>
        <w:t> </w:t>
      </w:r>
      <w:r>
        <w:rPr>
          <w:color w:val="333333"/>
          <w:sz w:val="15"/>
        </w:rPr>
        <w:t>of</w:t>
      </w:r>
      <w:r>
        <w:rPr>
          <w:color w:val="333333"/>
          <w:spacing w:val="-2"/>
          <w:sz w:val="15"/>
        </w:rPr>
        <w:t> </w:t>
      </w:r>
      <w:r>
        <w:rPr>
          <w:color w:val="333333"/>
          <w:sz w:val="15"/>
        </w:rPr>
        <w:t>the</w:t>
      </w:r>
      <w:r>
        <w:rPr>
          <w:color w:val="333333"/>
          <w:spacing w:val="-2"/>
          <w:sz w:val="15"/>
        </w:rPr>
        <w:t> </w:t>
      </w:r>
      <w:r>
        <w:rPr>
          <w:color w:val="333333"/>
          <w:sz w:val="15"/>
        </w:rPr>
        <w:t>Companies</w:t>
      </w:r>
      <w:r>
        <w:rPr>
          <w:color w:val="333333"/>
          <w:spacing w:val="-2"/>
          <w:sz w:val="15"/>
        </w:rPr>
        <w:t> </w:t>
      </w:r>
      <w:r>
        <w:rPr>
          <w:color w:val="333333"/>
          <w:sz w:val="15"/>
        </w:rPr>
        <w:t>Act,</w:t>
      </w:r>
      <w:r>
        <w:rPr>
          <w:color w:val="333333"/>
          <w:spacing w:val="-2"/>
          <w:sz w:val="15"/>
        </w:rPr>
        <w:t> </w:t>
      </w:r>
      <w:r>
        <w:rPr>
          <w:color w:val="333333"/>
          <w:sz w:val="15"/>
        </w:rPr>
        <w:t>2013</w:t>
      </w:r>
      <w:r>
        <w:rPr>
          <w:color w:val="333333"/>
          <w:spacing w:val="-2"/>
          <w:sz w:val="15"/>
        </w:rPr>
        <w:t> </w:t>
      </w:r>
      <w:r>
        <w:rPr>
          <w:color w:val="333333"/>
          <w:sz w:val="15"/>
        </w:rPr>
        <w:t>pertaining</w:t>
      </w:r>
      <w:r>
        <w:rPr>
          <w:color w:val="333333"/>
          <w:spacing w:val="-2"/>
          <w:sz w:val="15"/>
        </w:rPr>
        <w:t> </w:t>
      </w:r>
      <w:r>
        <w:rPr>
          <w:color w:val="333333"/>
          <w:sz w:val="15"/>
        </w:rPr>
        <w:t>to</w:t>
      </w:r>
      <w:r>
        <w:rPr>
          <w:color w:val="333333"/>
          <w:spacing w:val="-2"/>
          <w:sz w:val="15"/>
        </w:rPr>
        <w:t> </w:t>
      </w:r>
      <w:r>
        <w:rPr>
          <w:color w:val="333333"/>
          <w:sz w:val="15"/>
        </w:rPr>
        <w:t>laying</w:t>
      </w:r>
      <w:r>
        <w:rPr>
          <w:color w:val="333333"/>
          <w:spacing w:val="-2"/>
          <w:sz w:val="15"/>
        </w:rPr>
        <w:t> </w:t>
      </w:r>
      <w:r>
        <w:rPr>
          <w:color w:val="333333"/>
          <w:sz w:val="15"/>
        </w:rPr>
        <w:t>down</w:t>
      </w:r>
      <w:r>
        <w:rPr>
          <w:color w:val="333333"/>
          <w:spacing w:val="-2"/>
          <w:sz w:val="15"/>
        </w:rPr>
        <w:t> </w:t>
      </w:r>
      <w:r>
        <w:rPr>
          <w:color w:val="333333"/>
          <w:sz w:val="15"/>
        </w:rPr>
        <w:t>internal financial controls is not applicable to the Company.</w:t>
      </w:r>
    </w:p>
    <w:p>
      <w:pPr>
        <w:pStyle w:val="ListParagraph"/>
        <w:numPr>
          <w:ilvl w:val="0"/>
          <w:numId w:val="2"/>
        </w:numPr>
        <w:tabs>
          <w:tab w:pos="1079" w:val="left" w:leader="none"/>
        </w:tabs>
        <w:spacing w:line="249" w:lineRule="auto" w:before="1" w:after="0"/>
        <w:ind w:left="1079" w:right="43" w:hanging="360"/>
        <w:jc w:val="left"/>
        <w:rPr>
          <w:sz w:val="15"/>
        </w:rPr>
      </w:pPr>
      <w:r>
        <w:rPr>
          <w:color w:val="333333"/>
          <w:sz w:val="15"/>
        </w:rPr>
        <w:t>The Directors have devised proper systems to ensure compliance with the provisions of all applicable laws and that such system are adequate and operating effectively.</w:t>
      </w:r>
    </w:p>
    <w:p>
      <w:pPr>
        <w:pStyle w:val="BodyText"/>
        <w:spacing w:before="104"/>
      </w:pPr>
    </w:p>
    <w:p>
      <w:pPr>
        <w:pStyle w:val="Heading1"/>
        <w:spacing w:before="1"/>
      </w:pPr>
      <w:r>
        <w:rPr>
          <w:color w:val="111111"/>
          <w:spacing w:val="-2"/>
        </w:rPr>
        <w:t>Acknowledgement</w:t>
      </w:r>
    </w:p>
    <w:p>
      <w:pPr>
        <w:pStyle w:val="BodyText"/>
        <w:spacing w:line="249" w:lineRule="auto"/>
        <w:ind w:left="359"/>
      </w:pPr>
      <w:r>
        <w:rPr>
          <w:color w:val="696F6F"/>
        </w:rPr>
        <w:t>Your Directors would like to express their sincere appreciation for the assistance and co-operation received from the customers, employees, banks, Government authorities, vendors and members during the year under review.</w:t>
      </w:r>
    </w:p>
    <w:p>
      <w:pPr>
        <w:pStyle w:val="BodyText"/>
        <w:spacing w:before="0"/>
      </w:pPr>
    </w:p>
    <w:p>
      <w:pPr>
        <w:pStyle w:val="BodyText"/>
        <w:spacing w:before="0"/>
      </w:pPr>
    </w:p>
    <w:p>
      <w:pPr>
        <w:pStyle w:val="BodyText"/>
        <w:spacing w:before="0"/>
      </w:pPr>
    </w:p>
    <w:p>
      <w:pPr>
        <w:pStyle w:val="BodyText"/>
        <w:spacing w:before="96"/>
      </w:pPr>
    </w:p>
    <w:p>
      <w:pPr>
        <w:spacing w:before="0"/>
        <w:ind w:left="0" w:right="0" w:firstLine="0"/>
        <w:jc w:val="right"/>
        <w:rPr>
          <w:b/>
          <w:sz w:val="15"/>
        </w:rPr>
      </w:pPr>
      <w:r>
        <w:rPr>
          <w:b/>
          <w:color w:val="696F6F"/>
          <w:spacing w:val="-4"/>
          <w:sz w:val="15"/>
        </w:rPr>
        <w:t>For</w:t>
      </w:r>
      <w:r>
        <w:rPr>
          <w:b/>
          <w:color w:val="696F6F"/>
          <w:spacing w:val="-7"/>
          <w:sz w:val="15"/>
        </w:rPr>
        <w:t> </w:t>
      </w:r>
      <w:r>
        <w:rPr>
          <w:b/>
          <w:color w:val="696F6F"/>
          <w:spacing w:val="-4"/>
          <w:sz w:val="15"/>
        </w:rPr>
        <w:t>and</w:t>
      </w:r>
      <w:r>
        <w:rPr>
          <w:b/>
          <w:color w:val="696F6F"/>
          <w:spacing w:val="-7"/>
          <w:sz w:val="15"/>
        </w:rPr>
        <w:t> </w:t>
      </w:r>
      <w:r>
        <w:rPr>
          <w:b/>
          <w:color w:val="696F6F"/>
          <w:spacing w:val="-4"/>
          <w:sz w:val="15"/>
        </w:rPr>
        <w:t>on</w:t>
      </w:r>
      <w:r>
        <w:rPr>
          <w:b/>
          <w:color w:val="696F6F"/>
          <w:spacing w:val="-7"/>
          <w:sz w:val="15"/>
        </w:rPr>
        <w:t> </w:t>
      </w:r>
      <w:r>
        <w:rPr>
          <w:b/>
          <w:color w:val="696F6F"/>
          <w:spacing w:val="-4"/>
          <w:sz w:val="15"/>
        </w:rPr>
        <w:t>behalf</w:t>
      </w:r>
      <w:r>
        <w:rPr>
          <w:b/>
          <w:color w:val="696F6F"/>
          <w:spacing w:val="-6"/>
          <w:sz w:val="15"/>
        </w:rPr>
        <w:t> </w:t>
      </w:r>
      <w:r>
        <w:rPr>
          <w:b/>
          <w:color w:val="696F6F"/>
          <w:spacing w:val="-4"/>
          <w:sz w:val="15"/>
        </w:rPr>
        <w:t>of</w:t>
      </w:r>
      <w:r>
        <w:rPr>
          <w:b/>
          <w:color w:val="696F6F"/>
          <w:spacing w:val="-7"/>
          <w:sz w:val="15"/>
        </w:rPr>
        <w:t> </w:t>
      </w:r>
      <w:r>
        <w:rPr>
          <w:b/>
          <w:color w:val="696F6F"/>
          <w:spacing w:val="-4"/>
          <w:sz w:val="15"/>
        </w:rPr>
        <w:t>the</w:t>
      </w:r>
      <w:r>
        <w:rPr>
          <w:b/>
          <w:color w:val="696F6F"/>
          <w:spacing w:val="-7"/>
          <w:sz w:val="15"/>
        </w:rPr>
        <w:t> </w:t>
      </w:r>
      <w:r>
        <w:rPr>
          <w:b/>
          <w:color w:val="696F6F"/>
          <w:spacing w:val="-4"/>
          <w:sz w:val="15"/>
        </w:rPr>
        <w:t>Board</w:t>
      </w:r>
    </w:p>
    <w:p>
      <w:pPr>
        <w:pStyle w:val="BodyText"/>
        <w:spacing w:before="0"/>
        <w:rPr>
          <w:b/>
        </w:rPr>
      </w:pPr>
    </w:p>
    <w:p>
      <w:pPr>
        <w:pStyle w:val="BodyText"/>
        <w:spacing w:before="0"/>
        <w:rPr>
          <w:b/>
        </w:rPr>
      </w:pPr>
    </w:p>
    <w:p>
      <w:pPr>
        <w:pStyle w:val="BodyText"/>
        <w:spacing w:before="0"/>
        <w:rPr>
          <w:b/>
        </w:rPr>
      </w:pPr>
    </w:p>
    <w:p>
      <w:pPr>
        <w:pStyle w:val="BodyText"/>
        <w:spacing w:before="102"/>
        <w:rPr>
          <w:b/>
        </w:rPr>
      </w:pPr>
    </w:p>
    <w:p>
      <w:pPr>
        <w:spacing w:before="1"/>
        <w:ind w:left="0" w:right="0" w:firstLine="0"/>
        <w:jc w:val="right"/>
        <w:rPr>
          <w:b/>
          <w:sz w:val="15"/>
        </w:rPr>
      </w:pPr>
      <w:r>
        <w:rPr>
          <w:b/>
          <w:color w:val="696F6F"/>
          <w:spacing w:val="-4"/>
          <w:sz w:val="15"/>
        </w:rPr>
        <w:t>(SEAL</w:t>
      </w:r>
      <w:r>
        <w:rPr>
          <w:b/>
          <w:color w:val="696F6F"/>
          <w:spacing w:val="-1"/>
          <w:sz w:val="15"/>
        </w:rPr>
        <w:t> </w:t>
      </w:r>
      <w:r>
        <w:rPr>
          <w:b/>
          <w:color w:val="696F6F"/>
          <w:spacing w:val="-4"/>
          <w:sz w:val="15"/>
        </w:rPr>
        <w:t>AND</w:t>
      </w:r>
      <w:r>
        <w:rPr>
          <w:b/>
          <w:color w:val="696F6F"/>
          <w:sz w:val="15"/>
        </w:rPr>
        <w:t> </w:t>
      </w:r>
      <w:r>
        <w:rPr>
          <w:b/>
          <w:color w:val="696F6F"/>
          <w:spacing w:val="-4"/>
          <w:sz w:val="15"/>
        </w:rPr>
        <w:t>SIGNATURE</w:t>
      </w:r>
      <w:r>
        <w:rPr>
          <w:b/>
          <w:color w:val="696F6F"/>
          <w:spacing w:val="-1"/>
          <w:sz w:val="15"/>
        </w:rPr>
        <w:t> </w:t>
      </w:r>
      <w:r>
        <w:rPr>
          <w:b/>
          <w:color w:val="696F6F"/>
          <w:spacing w:val="-4"/>
          <w:sz w:val="15"/>
        </w:rPr>
        <w:t>OF</w:t>
      </w:r>
      <w:r>
        <w:rPr>
          <w:b/>
          <w:color w:val="696F6F"/>
          <w:sz w:val="15"/>
        </w:rPr>
        <w:t> </w:t>
      </w:r>
      <w:r>
        <w:rPr>
          <w:b/>
          <w:color w:val="696F6F"/>
          <w:spacing w:val="-4"/>
          <w:sz w:val="15"/>
        </w:rPr>
        <w:t>CHAIRMAN)</w:t>
      </w:r>
    </w:p>
    <w:p>
      <w:pPr>
        <w:pStyle w:val="BodyText"/>
        <w:spacing w:before="141"/>
        <w:rPr>
          <w:b/>
        </w:rPr>
      </w:pPr>
    </w:p>
    <w:p>
      <w:pPr>
        <w:pStyle w:val="BodyText"/>
        <w:spacing w:before="1"/>
        <w:ind w:left="359" w:right="8944"/>
      </w:pPr>
      <w:r>
        <w:rPr>
          <w:color w:val="696F6F"/>
          <w:spacing w:val="-2"/>
        </w:rPr>
        <w:t>Date:</w:t>
      </w:r>
    </w:p>
    <w:p>
      <w:pPr>
        <w:pStyle w:val="BodyText"/>
        <w:spacing w:before="141"/>
      </w:pPr>
    </w:p>
    <w:p>
      <w:pPr>
        <w:pStyle w:val="BodyText"/>
        <w:spacing w:before="0"/>
        <w:ind w:left="359" w:right="8944"/>
      </w:pPr>
      <w:r>
        <w:rPr>
          <w:color w:val="696F6F"/>
          <w:spacing w:val="-2"/>
          <w:w w:val="105"/>
        </w:rPr>
        <w:t>Place:</w:t>
      </w:r>
    </w:p>
    <w:sectPr>
      <w:pgSz w:w="12240" w:h="15840"/>
      <w:pgMar w:top="136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 w:name="Tahoma">
    <w:altName w:val="Tahom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80" w:hanging="360"/>
        <w:jc w:val="left"/>
      </w:pPr>
      <w:rPr>
        <w:rFonts w:hint="default" w:ascii="Tahoma" w:hAnsi="Tahoma" w:eastAsia="Tahoma" w:cs="Tahoma"/>
        <w:b w:val="0"/>
        <w:bCs w:val="0"/>
        <w:i w:val="0"/>
        <w:iCs w:val="0"/>
        <w:color w:val="333333"/>
        <w:spacing w:val="0"/>
        <w:w w:val="98"/>
        <w:sz w:val="15"/>
        <w:szCs w:val="15"/>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0">
    <w:multiLevelType w:val="hybridMultilevel"/>
    <w:lvl w:ilvl="0">
      <w:start w:val="0"/>
      <w:numFmt w:val="bullet"/>
      <w:lvlText w:val="●"/>
      <w:lvlJc w:val="left"/>
      <w:pPr>
        <w:ind w:left="1080" w:hanging="360"/>
      </w:pPr>
      <w:rPr>
        <w:rFonts w:hint="default" w:ascii="Microsoft Sans Serif" w:hAnsi="Microsoft Sans Serif" w:eastAsia="Microsoft Sans Serif" w:cs="Microsoft Sans Serif"/>
        <w:b w:val="0"/>
        <w:bCs w:val="0"/>
        <w:i w:val="0"/>
        <w:iCs w:val="0"/>
        <w:color w:val="333333"/>
        <w:spacing w:val="0"/>
        <w:w w:val="100"/>
        <w:sz w:val="15"/>
        <w:szCs w:val="15"/>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spacing w:before="101"/>
    </w:pPr>
    <w:rPr>
      <w:rFonts w:ascii="Tahoma" w:hAnsi="Tahoma" w:eastAsia="Tahoma" w:cs="Tahoma"/>
      <w:sz w:val="15"/>
      <w:szCs w:val="15"/>
      <w:lang w:val="en-US" w:eastAsia="en-US" w:bidi="ar-SA"/>
    </w:rPr>
  </w:style>
  <w:style w:styleId="Heading1" w:type="paragraph">
    <w:name w:val="Heading 1"/>
    <w:basedOn w:val="Normal"/>
    <w:uiPriority w:val="1"/>
    <w:qFormat/>
    <w:pPr>
      <w:ind w:left="359"/>
      <w:outlineLvl w:val="1"/>
    </w:pPr>
    <w:rPr>
      <w:rFonts w:ascii="Arial" w:hAnsi="Arial" w:eastAsia="Arial" w:cs="Arial"/>
      <w:b/>
      <w:bCs/>
      <w:sz w:val="25"/>
      <w:szCs w:val="25"/>
      <w:lang w:val="en-US" w:eastAsia="en-US" w:bidi="ar-SA"/>
    </w:rPr>
  </w:style>
  <w:style w:styleId="Heading2" w:type="paragraph">
    <w:name w:val="Heading 2"/>
    <w:basedOn w:val="Normal"/>
    <w:uiPriority w:val="1"/>
    <w:qFormat/>
    <w:pPr>
      <w:ind w:left="359"/>
      <w:outlineLvl w:val="2"/>
    </w:pPr>
    <w:rPr>
      <w:rFonts w:ascii="Arial" w:hAnsi="Arial" w:eastAsia="Arial" w:cs="Arial"/>
      <w:b/>
      <w:bCs/>
      <w:sz w:val="19"/>
      <w:szCs w:val="19"/>
      <w:lang w:val="en-US" w:eastAsia="en-US" w:bidi="ar-SA"/>
    </w:rPr>
  </w:style>
  <w:style w:styleId="Title" w:type="paragraph">
    <w:name w:val="Title"/>
    <w:basedOn w:val="Normal"/>
    <w:uiPriority w:val="1"/>
    <w:qFormat/>
    <w:pPr>
      <w:spacing w:before="273"/>
      <w:ind w:left="359"/>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ind w:left="1079" w:hanging="360"/>
    </w:pPr>
    <w:rPr>
      <w:rFonts w:ascii="Tahoma" w:hAnsi="Tahoma" w:eastAsia="Tahoma" w:cs="Tahoma"/>
      <w:lang w:val="en-US" w:eastAsia="en-US" w:bidi="ar-SA"/>
    </w:rPr>
  </w:style>
  <w:style w:styleId="TableParagraph" w:type="paragraph">
    <w:name w:val="Table Paragraph"/>
    <w:basedOn w:val="Normal"/>
    <w:uiPriority w:val="1"/>
    <w:qFormat/>
    <w:pPr/>
    <w:rPr>
      <w:rFonts w:ascii="Tahoma" w:hAnsi="Tahoma" w:eastAsia="Tahoma" w:cs="Tahom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Report-Template.docx - Google Docs</dc:title>
  <dcterms:created xsi:type="dcterms:W3CDTF">2026-05-05T06:21:36Z</dcterms:created>
  <dcterms:modified xsi:type="dcterms:W3CDTF">2026-05-05T06:21:36Z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2025-06-05T00:00:00Z</vt:filetime>
  </property>
  <property fmtid="{D5CDD505-2E9C-101B-9397-08002B2CF9AE}" pid="3" name="Creator">
    <vt:lpwstr>Mozilla/5.0 (Windows NT 10.0; Win64; x64) AppleWebKit/537.36 (KHTML, like Gecko) Chrome/136.0.0.0 Safari/537.36 Edg/136.0.0.0</vt:lpwstr>
  </property>
  <property fmtid="{D5CDD505-2E9C-101B-9397-08002B2CF9AE}" pid="4" name="LastSaved">
    <vt:filetime>2026-05-05T00:00:00Z</vt:filetime>
  </property>
  <property fmtid="{D5CDD505-2E9C-101B-9397-08002B2CF9AE}" pid="5" name="Producer">
    <vt:lpwstr>Skia/PDF m136</vt:lpwstr>
  </property>
</Properties>
</file>